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85B98" w14:paraId="2EECE564" w14:textId="77777777">
        <w:trPr>
          <w:tblCellSpacing w:w="60" w:type="dxa"/>
        </w:trPr>
        <w:tc>
          <w:tcPr>
            <w:tcW w:w="1200" w:type="pct"/>
            <w:shd w:val="clear" w:color="auto" w:fill="E7F0F9"/>
          </w:tcPr>
          <w:p w14:paraId="72DA8A7F" w14:textId="77777777" w:rsidR="00985B98" w:rsidRDefault="00000000">
            <w:pPr>
              <w:spacing w:after="0" w:line="240" w:lineRule="auto"/>
            </w:pPr>
            <w:r>
              <w:rPr>
                <w:b/>
              </w:rPr>
              <w:t>RKP broj</w:t>
            </w:r>
          </w:p>
        </w:tc>
        <w:tc>
          <w:tcPr>
            <w:tcW w:w="0" w:type="auto"/>
            <w:shd w:val="clear" w:color="auto" w:fill="E7F0F9"/>
          </w:tcPr>
          <w:p w14:paraId="45001330" w14:textId="77777777" w:rsidR="00985B98" w:rsidRDefault="00000000">
            <w:pPr>
              <w:spacing w:after="0" w:line="240" w:lineRule="auto"/>
            </w:pPr>
            <w:r>
              <w:t>21123</w:t>
            </w:r>
          </w:p>
        </w:tc>
      </w:tr>
      <w:tr w:rsidR="00985B98" w14:paraId="2B548C1D" w14:textId="77777777">
        <w:trPr>
          <w:tblCellSpacing w:w="60" w:type="dxa"/>
        </w:trPr>
        <w:tc>
          <w:tcPr>
            <w:tcW w:w="1200" w:type="pct"/>
            <w:shd w:val="clear" w:color="auto" w:fill="E7F0F9"/>
          </w:tcPr>
          <w:p w14:paraId="5128F5B5" w14:textId="77777777" w:rsidR="00985B98" w:rsidRDefault="00000000">
            <w:pPr>
              <w:spacing w:after="0" w:line="240" w:lineRule="auto"/>
            </w:pPr>
            <w:r>
              <w:rPr>
                <w:b/>
              </w:rPr>
              <w:t>Naziv obveznika</w:t>
            </w:r>
          </w:p>
        </w:tc>
        <w:tc>
          <w:tcPr>
            <w:tcW w:w="0" w:type="auto"/>
            <w:shd w:val="clear" w:color="auto" w:fill="E7F0F9"/>
          </w:tcPr>
          <w:p w14:paraId="2B670C6D" w14:textId="77777777" w:rsidR="00985B98" w:rsidRDefault="00000000">
            <w:pPr>
              <w:spacing w:after="0" w:line="240" w:lineRule="auto"/>
            </w:pPr>
            <w:r>
              <w:t>O.Š. DVOR</w:t>
            </w:r>
          </w:p>
        </w:tc>
      </w:tr>
      <w:tr w:rsidR="00985B98" w14:paraId="06C2469E" w14:textId="77777777">
        <w:trPr>
          <w:tblCellSpacing w:w="60" w:type="dxa"/>
        </w:trPr>
        <w:tc>
          <w:tcPr>
            <w:tcW w:w="1200" w:type="pct"/>
            <w:shd w:val="clear" w:color="auto" w:fill="E7F0F9"/>
          </w:tcPr>
          <w:p w14:paraId="658FF832" w14:textId="77777777" w:rsidR="00985B98" w:rsidRDefault="00000000">
            <w:pPr>
              <w:spacing w:after="0" w:line="240" w:lineRule="auto"/>
            </w:pPr>
            <w:r>
              <w:rPr>
                <w:b/>
              </w:rPr>
              <w:t>Razina</w:t>
            </w:r>
          </w:p>
        </w:tc>
        <w:tc>
          <w:tcPr>
            <w:tcW w:w="0" w:type="auto"/>
            <w:shd w:val="clear" w:color="auto" w:fill="E7F0F9"/>
          </w:tcPr>
          <w:p w14:paraId="5F3170D3" w14:textId="77777777" w:rsidR="00985B98" w:rsidRDefault="00000000">
            <w:pPr>
              <w:spacing w:after="0" w:line="240" w:lineRule="auto"/>
            </w:pPr>
            <w:r>
              <w:t>31</w:t>
            </w:r>
          </w:p>
        </w:tc>
      </w:tr>
    </w:tbl>
    <w:p w14:paraId="661BC774" w14:textId="77777777" w:rsidR="00985B98" w:rsidRDefault="00000000">
      <w:r>
        <w:br/>
      </w:r>
    </w:p>
    <w:p w14:paraId="52BFA5D9" w14:textId="77777777" w:rsidR="00985B98" w:rsidRDefault="00000000">
      <w:pPr>
        <w:spacing w:line="240" w:lineRule="auto"/>
        <w:jc w:val="center"/>
      </w:pPr>
      <w:r>
        <w:rPr>
          <w:b/>
          <w:sz w:val="28"/>
        </w:rPr>
        <w:t>BILJEŠKE UZ FINANCIJSKE IZVJEŠTAJE</w:t>
      </w:r>
    </w:p>
    <w:p w14:paraId="1D4A6793" w14:textId="77777777" w:rsidR="00985B98" w:rsidRDefault="00000000">
      <w:pPr>
        <w:spacing w:line="240" w:lineRule="auto"/>
        <w:jc w:val="center"/>
      </w:pPr>
      <w:r>
        <w:rPr>
          <w:b/>
          <w:sz w:val="28"/>
        </w:rPr>
        <w:t>ZA RAZDOBLJE</w:t>
      </w:r>
    </w:p>
    <w:p w14:paraId="4A7441E7" w14:textId="77777777" w:rsidR="00985B98" w:rsidRDefault="00000000">
      <w:pPr>
        <w:spacing w:line="240" w:lineRule="auto"/>
        <w:jc w:val="center"/>
      </w:pPr>
      <w:r>
        <w:rPr>
          <w:b/>
          <w:sz w:val="28"/>
        </w:rPr>
        <w:t>I - XII 2025.</w:t>
      </w:r>
    </w:p>
    <w:p w14:paraId="69110A0A" w14:textId="77777777" w:rsidR="00985B98" w:rsidRDefault="00985B98"/>
    <w:p w14:paraId="4DBB1AA4" w14:textId="77777777" w:rsidR="00985B98" w:rsidRDefault="00000000">
      <w:pPr>
        <w:keepNext/>
        <w:spacing w:line="240" w:lineRule="auto"/>
        <w:jc w:val="center"/>
      </w:pPr>
      <w:r>
        <w:rPr>
          <w:b/>
          <w:sz w:val="28"/>
        </w:rPr>
        <w:t>Izvještaj o prihodima i rashodima, primicima i izdacima</w:t>
      </w:r>
    </w:p>
    <w:p w14:paraId="1DF9ECD5" w14:textId="77777777" w:rsidR="00985B9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3FDA4F4A" w14:textId="77777777">
        <w:trPr>
          <w:cantSplit/>
        </w:trPr>
        <w:tc>
          <w:tcPr>
            <w:tcW w:w="700" w:type="dxa"/>
            <w:shd w:val="clear" w:color="auto" w:fill="E7F0F9"/>
            <w:tcMar>
              <w:top w:w="0" w:type="dxa"/>
              <w:bottom w:w="0" w:type="dxa"/>
            </w:tcMar>
            <w:vAlign w:val="center"/>
          </w:tcPr>
          <w:p w14:paraId="17FF6665"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080151"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2744FD"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8E591A"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FD2751"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DA256C" w14:textId="77777777" w:rsidR="00985B98" w:rsidRDefault="00000000">
            <w:pPr>
              <w:keepNext/>
              <w:keepLines/>
              <w:spacing w:after="0" w:line="240" w:lineRule="auto"/>
              <w:jc w:val="center"/>
            </w:pPr>
            <w:r>
              <w:rPr>
                <w:b/>
                <w:sz w:val="18"/>
              </w:rPr>
              <w:t>Indeks (%)</w:t>
            </w:r>
          </w:p>
        </w:tc>
      </w:tr>
      <w:tr w:rsidR="00985B98" w14:paraId="2B143ABF" w14:textId="77777777">
        <w:trPr>
          <w:cantSplit/>
          <w:trHeight w:val="560"/>
        </w:trPr>
        <w:tc>
          <w:tcPr>
            <w:tcW w:w="700" w:type="dxa"/>
            <w:tcMar>
              <w:top w:w="0" w:type="dxa"/>
              <w:bottom w:w="0" w:type="dxa"/>
            </w:tcMar>
            <w:vAlign w:val="center"/>
          </w:tcPr>
          <w:p w14:paraId="3520A66C" w14:textId="77777777" w:rsidR="00985B98" w:rsidRDefault="00000000">
            <w:pPr>
              <w:keepNext/>
              <w:keepLines/>
              <w:spacing w:after="0" w:line="240" w:lineRule="auto"/>
            </w:pPr>
            <w:r>
              <w:rPr>
                <w:sz w:val="18"/>
              </w:rPr>
              <w:t>6</w:t>
            </w:r>
          </w:p>
        </w:tc>
        <w:tc>
          <w:tcPr>
            <w:tcW w:w="3180" w:type="dxa"/>
            <w:tcMar>
              <w:top w:w="0" w:type="dxa"/>
              <w:bottom w:w="0" w:type="dxa"/>
            </w:tcMar>
            <w:vAlign w:val="center"/>
          </w:tcPr>
          <w:p w14:paraId="409D3D39" w14:textId="77777777" w:rsidR="00985B9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B429230" w14:textId="77777777" w:rsidR="00985B98" w:rsidRDefault="00000000">
            <w:pPr>
              <w:keepNext/>
              <w:keepLines/>
              <w:spacing w:after="0" w:line="240" w:lineRule="auto"/>
            </w:pPr>
            <w:r>
              <w:rPr>
                <w:sz w:val="18"/>
              </w:rPr>
              <w:t>6</w:t>
            </w:r>
          </w:p>
        </w:tc>
        <w:tc>
          <w:tcPr>
            <w:tcW w:w="1860" w:type="dxa"/>
            <w:tcMar>
              <w:top w:w="0" w:type="dxa"/>
              <w:bottom w:w="0" w:type="dxa"/>
            </w:tcMar>
            <w:vAlign w:val="center"/>
          </w:tcPr>
          <w:p w14:paraId="73EF3D83" w14:textId="77777777" w:rsidR="00985B98" w:rsidRDefault="00000000">
            <w:pPr>
              <w:keepNext/>
              <w:keepLines/>
              <w:spacing w:after="0" w:line="240" w:lineRule="auto"/>
              <w:jc w:val="right"/>
            </w:pPr>
            <w:r>
              <w:rPr>
                <w:sz w:val="18"/>
              </w:rPr>
              <w:t>1.018.168,42</w:t>
            </w:r>
          </w:p>
        </w:tc>
        <w:tc>
          <w:tcPr>
            <w:tcW w:w="1860" w:type="dxa"/>
            <w:tcMar>
              <w:top w:w="0" w:type="dxa"/>
              <w:bottom w:w="0" w:type="dxa"/>
            </w:tcMar>
            <w:vAlign w:val="center"/>
          </w:tcPr>
          <w:p w14:paraId="3C17B104" w14:textId="77777777" w:rsidR="00985B98" w:rsidRDefault="00000000">
            <w:pPr>
              <w:keepNext/>
              <w:keepLines/>
              <w:spacing w:after="0" w:line="240" w:lineRule="auto"/>
              <w:jc w:val="right"/>
            </w:pPr>
            <w:r>
              <w:rPr>
                <w:sz w:val="18"/>
              </w:rPr>
              <w:t>1.090.052,91</w:t>
            </w:r>
          </w:p>
        </w:tc>
        <w:tc>
          <w:tcPr>
            <w:tcW w:w="700" w:type="dxa"/>
            <w:tcMar>
              <w:top w:w="0" w:type="dxa"/>
              <w:bottom w:w="0" w:type="dxa"/>
            </w:tcMar>
            <w:vAlign w:val="center"/>
          </w:tcPr>
          <w:p w14:paraId="73EECBFA" w14:textId="77777777" w:rsidR="00985B98" w:rsidRDefault="00000000">
            <w:pPr>
              <w:keepNext/>
              <w:keepLines/>
              <w:spacing w:after="0" w:line="240" w:lineRule="auto"/>
              <w:jc w:val="right"/>
            </w:pPr>
            <w:r>
              <w:rPr>
                <w:sz w:val="18"/>
              </w:rPr>
              <w:t>107,1</w:t>
            </w:r>
          </w:p>
        </w:tc>
      </w:tr>
      <w:tr w:rsidR="00985B98" w14:paraId="0749845E" w14:textId="77777777">
        <w:trPr>
          <w:cantSplit/>
          <w:trHeight w:val="560"/>
        </w:trPr>
        <w:tc>
          <w:tcPr>
            <w:tcW w:w="700" w:type="dxa"/>
            <w:tcMar>
              <w:top w:w="0" w:type="dxa"/>
              <w:bottom w:w="0" w:type="dxa"/>
            </w:tcMar>
            <w:vAlign w:val="center"/>
          </w:tcPr>
          <w:p w14:paraId="421E6DDB" w14:textId="77777777" w:rsidR="00985B98" w:rsidRDefault="00000000">
            <w:pPr>
              <w:keepNext/>
              <w:keepLines/>
              <w:spacing w:after="0" w:line="240" w:lineRule="auto"/>
            </w:pPr>
            <w:r>
              <w:rPr>
                <w:sz w:val="18"/>
              </w:rPr>
              <w:t>3</w:t>
            </w:r>
          </w:p>
        </w:tc>
        <w:tc>
          <w:tcPr>
            <w:tcW w:w="3180" w:type="dxa"/>
            <w:tcMar>
              <w:top w:w="0" w:type="dxa"/>
              <w:bottom w:w="0" w:type="dxa"/>
            </w:tcMar>
            <w:vAlign w:val="center"/>
          </w:tcPr>
          <w:p w14:paraId="24693471" w14:textId="77777777" w:rsidR="00985B9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30D8A45" w14:textId="77777777" w:rsidR="00985B98" w:rsidRDefault="00000000">
            <w:pPr>
              <w:keepNext/>
              <w:keepLines/>
              <w:spacing w:after="0" w:line="240" w:lineRule="auto"/>
            </w:pPr>
            <w:r>
              <w:rPr>
                <w:sz w:val="18"/>
              </w:rPr>
              <w:t>3</w:t>
            </w:r>
          </w:p>
        </w:tc>
        <w:tc>
          <w:tcPr>
            <w:tcW w:w="1860" w:type="dxa"/>
            <w:tcMar>
              <w:top w:w="0" w:type="dxa"/>
              <w:bottom w:w="0" w:type="dxa"/>
            </w:tcMar>
            <w:vAlign w:val="center"/>
          </w:tcPr>
          <w:p w14:paraId="697E743F" w14:textId="77777777" w:rsidR="00985B98" w:rsidRDefault="00000000">
            <w:pPr>
              <w:keepNext/>
              <w:keepLines/>
              <w:spacing w:after="0" w:line="240" w:lineRule="auto"/>
              <w:jc w:val="right"/>
            </w:pPr>
            <w:r>
              <w:rPr>
                <w:sz w:val="18"/>
              </w:rPr>
              <w:t>1.006.719,28</w:t>
            </w:r>
          </w:p>
        </w:tc>
        <w:tc>
          <w:tcPr>
            <w:tcW w:w="1860" w:type="dxa"/>
            <w:tcMar>
              <w:top w:w="0" w:type="dxa"/>
              <w:bottom w:w="0" w:type="dxa"/>
            </w:tcMar>
            <w:vAlign w:val="center"/>
          </w:tcPr>
          <w:p w14:paraId="333E8667" w14:textId="77777777" w:rsidR="00985B98" w:rsidRDefault="00000000">
            <w:pPr>
              <w:keepNext/>
              <w:keepLines/>
              <w:spacing w:after="0" w:line="240" w:lineRule="auto"/>
              <w:jc w:val="right"/>
            </w:pPr>
            <w:r>
              <w:rPr>
                <w:sz w:val="18"/>
              </w:rPr>
              <w:t>1.159.817,23</w:t>
            </w:r>
          </w:p>
        </w:tc>
        <w:tc>
          <w:tcPr>
            <w:tcW w:w="700" w:type="dxa"/>
            <w:tcMar>
              <w:top w:w="0" w:type="dxa"/>
              <w:bottom w:w="0" w:type="dxa"/>
            </w:tcMar>
            <w:vAlign w:val="center"/>
          </w:tcPr>
          <w:p w14:paraId="00B6FE61" w14:textId="77777777" w:rsidR="00985B98" w:rsidRDefault="00000000">
            <w:pPr>
              <w:keepNext/>
              <w:keepLines/>
              <w:spacing w:after="0" w:line="240" w:lineRule="auto"/>
              <w:jc w:val="right"/>
            </w:pPr>
            <w:r>
              <w:rPr>
                <w:sz w:val="18"/>
              </w:rPr>
              <w:t>115,2</w:t>
            </w:r>
          </w:p>
        </w:tc>
      </w:tr>
      <w:tr w:rsidR="00985B98" w14:paraId="67D231C3" w14:textId="77777777">
        <w:trPr>
          <w:cantSplit/>
          <w:trHeight w:val="560"/>
        </w:trPr>
        <w:tc>
          <w:tcPr>
            <w:tcW w:w="700" w:type="dxa"/>
            <w:tcMar>
              <w:top w:w="0" w:type="dxa"/>
              <w:bottom w:w="0" w:type="dxa"/>
            </w:tcMar>
            <w:vAlign w:val="center"/>
          </w:tcPr>
          <w:p w14:paraId="2A67B54F" w14:textId="77777777" w:rsidR="00985B98" w:rsidRDefault="00985B98">
            <w:pPr>
              <w:keepNext/>
              <w:keepLines/>
              <w:spacing w:after="0" w:line="240" w:lineRule="auto"/>
            </w:pPr>
          </w:p>
        </w:tc>
        <w:tc>
          <w:tcPr>
            <w:tcW w:w="3180" w:type="dxa"/>
            <w:tcMar>
              <w:top w:w="0" w:type="dxa"/>
              <w:bottom w:w="0" w:type="dxa"/>
            </w:tcMar>
            <w:vAlign w:val="center"/>
          </w:tcPr>
          <w:p w14:paraId="67A36EA7" w14:textId="77777777" w:rsidR="00985B98"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3D8E1CA" w14:textId="77777777" w:rsidR="00985B98" w:rsidRDefault="00000000">
            <w:pPr>
              <w:keepNext/>
              <w:keepLines/>
              <w:spacing w:after="0" w:line="240" w:lineRule="auto"/>
            </w:pPr>
            <w:r>
              <w:rPr>
                <w:b/>
                <w:sz w:val="18"/>
              </w:rPr>
              <w:t>Y001</w:t>
            </w:r>
          </w:p>
        </w:tc>
        <w:tc>
          <w:tcPr>
            <w:tcW w:w="1860" w:type="dxa"/>
            <w:tcMar>
              <w:top w:w="0" w:type="dxa"/>
              <w:bottom w:w="0" w:type="dxa"/>
            </w:tcMar>
            <w:vAlign w:val="center"/>
          </w:tcPr>
          <w:p w14:paraId="325AA766" w14:textId="77777777" w:rsidR="00985B98" w:rsidRDefault="00000000">
            <w:pPr>
              <w:keepNext/>
              <w:keepLines/>
              <w:spacing w:after="0" w:line="240" w:lineRule="auto"/>
              <w:jc w:val="right"/>
            </w:pPr>
            <w:r>
              <w:rPr>
                <w:b/>
                <w:sz w:val="18"/>
              </w:rPr>
              <w:t>0,00</w:t>
            </w:r>
          </w:p>
        </w:tc>
        <w:tc>
          <w:tcPr>
            <w:tcW w:w="1860" w:type="dxa"/>
            <w:tcMar>
              <w:top w:w="0" w:type="dxa"/>
              <w:bottom w:w="0" w:type="dxa"/>
            </w:tcMar>
            <w:vAlign w:val="center"/>
          </w:tcPr>
          <w:p w14:paraId="5AD4C38D" w14:textId="77777777" w:rsidR="00985B98" w:rsidRDefault="00000000">
            <w:pPr>
              <w:keepNext/>
              <w:keepLines/>
              <w:spacing w:after="0" w:line="240" w:lineRule="auto"/>
              <w:jc w:val="right"/>
            </w:pPr>
            <w:r>
              <w:rPr>
                <w:b/>
                <w:sz w:val="18"/>
              </w:rPr>
              <w:t>69.764,32</w:t>
            </w:r>
          </w:p>
        </w:tc>
        <w:tc>
          <w:tcPr>
            <w:tcW w:w="700" w:type="dxa"/>
            <w:tcMar>
              <w:top w:w="0" w:type="dxa"/>
              <w:bottom w:w="0" w:type="dxa"/>
            </w:tcMar>
            <w:vAlign w:val="center"/>
          </w:tcPr>
          <w:p w14:paraId="2F5EEDB6" w14:textId="77777777" w:rsidR="00985B98" w:rsidRDefault="00000000">
            <w:pPr>
              <w:keepNext/>
              <w:keepLines/>
              <w:spacing w:after="0" w:line="240" w:lineRule="auto"/>
              <w:jc w:val="right"/>
            </w:pPr>
            <w:r>
              <w:rPr>
                <w:b/>
                <w:sz w:val="18"/>
              </w:rPr>
              <w:t>-</w:t>
            </w:r>
          </w:p>
        </w:tc>
      </w:tr>
      <w:tr w:rsidR="00985B98" w14:paraId="4F619BE3" w14:textId="77777777">
        <w:trPr>
          <w:cantSplit/>
          <w:trHeight w:val="560"/>
        </w:trPr>
        <w:tc>
          <w:tcPr>
            <w:tcW w:w="700" w:type="dxa"/>
            <w:tcMar>
              <w:top w:w="0" w:type="dxa"/>
              <w:bottom w:w="0" w:type="dxa"/>
            </w:tcMar>
            <w:vAlign w:val="center"/>
          </w:tcPr>
          <w:p w14:paraId="05CBED18" w14:textId="77777777" w:rsidR="00985B98" w:rsidRDefault="00000000">
            <w:pPr>
              <w:keepNext/>
              <w:keepLines/>
              <w:spacing w:after="0" w:line="240" w:lineRule="auto"/>
            </w:pPr>
            <w:r>
              <w:rPr>
                <w:sz w:val="18"/>
              </w:rPr>
              <w:t>7</w:t>
            </w:r>
          </w:p>
        </w:tc>
        <w:tc>
          <w:tcPr>
            <w:tcW w:w="3180" w:type="dxa"/>
            <w:tcMar>
              <w:top w:w="0" w:type="dxa"/>
              <w:bottom w:w="0" w:type="dxa"/>
            </w:tcMar>
            <w:vAlign w:val="center"/>
          </w:tcPr>
          <w:p w14:paraId="7B5370BB" w14:textId="77777777" w:rsidR="00985B9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B18ACEB" w14:textId="77777777" w:rsidR="00985B98" w:rsidRDefault="00000000">
            <w:pPr>
              <w:keepNext/>
              <w:keepLines/>
              <w:spacing w:after="0" w:line="240" w:lineRule="auto"/>
            </w:pPr>
            <w:r>
              <w:rPr>
                <w:sz w:val="18"/>
              </w:rPr>
              <w:t>7</w:t>
            </w:r>
          </w:p>
        </w:tc>
        <w:tc>
          <w:tcPr>
            <w:tcW w:w="1860" w:type="dxa"/>
            <w:tcMar>
              <w:top w:w="0" w:type="dxa"/>
              <w:bottom w:w="0" w:type="dxa"/>
            </w:tcMar>
            <w:vAlign w:val="center"/>
          </w:tcPr>
          <w:p w14:paraId="0CAE9E4C" w14:textId="77777777" w:rsidR="00985B98" w:rsidRDefault="00000000">
            <w:pPr>
              <w:keepNext/>
              <w:keepLines/>
              <w:spacing w:after="0" w:line="240" w:lineRule="auto"/>
              <w:jc w:val="right"/>
            </w:pPr>
            <w:r>
              <w:rPr>
                <w:sz w:val="18"/>
              </w:rPr>
              <w:t>0,00</w:t>
            </w:r>
          </w:p>
        </w:tc>
        <w:tc>
          <w:tcPr>
            <w:tcW w:w="1860" w:type="dxa"/>
            <w:tcMar>
              <w:top w:w="0" w:type="dxa"/>
              <w:bottom w:w="0" w:type="dxa"/>
            </w:tcMar>
            <w:vAlign w:val="center"/>
          </w:tcPr>
          <w:p w14:paraId="21FB84CE" w14:textId="77777777" w:rsidR="00985B98" w:rsidRDefault="00000000">
            <w:pPr>
              <w:keepNext/>
              <w:keepLines/>
              <w:spacing w:after="0" w:line="240" w:lineRule="auto"/>
              <w:jc w:val="right"/>
            </w:pPr>
            <w:r>
              <w:rPr>
                <w:sz w:val="18"/>
              </w:rPr>
              <w:t>0,00</w:t>
            </w:r>
          </w:p>
        </w:tc>
        <w:tc>
          <w:tcPr>
            <w:tcW w:w="700" w:type="dxa"/>
            <w:tcMar>
              <w:top w:w="0" w:type="dxa"/>
              <w:bottom w:w="0" w:type="dxa"/>
            </w:tcMar>
            <w:vAlign w:val="center"/>
          </w:tcPr>
          <w:p w14:paraId="49229958" w14:textId="77777777" w:rsidR="00985B98" w:rsidRDefault="00000000">
            <w:pPr>
              <w:keepNext/>
              <w:keepLines/>
              <w:spacing w:after="0" w:line="240" w:lineRule="auto"/>
              <w:jc w:val="right"/>
            </w:pPr>
            <w:r>
              <w:rPr>
                <w:sz w:val="18"/>
              </w:rPr>
              <w:t>-</w:t>
            </w:r>
          </w:p>
        </w:tc>
      </w:tr>
      <w:tr w:rsidR="00985B98" w14:paraId="2C9EBC54" w14:textId="77777777">
        <w:trPr>
          <w:cantSplit/>
          <w:trHeight w:val="560"/>
        </w:trPr>
        <w:tc>
          <w:tcPr>
            <w:tcW w:w="700" w:type="dxa"/>
            <w:tcMar>
              <w:top w:w="0" w:type="dxa"/>
              <w:bottom w:w="0" w:type="dxa"/>
            </w:tcMar>
            <w:vAlign w:val="center"/>
          </w:tcPr>
          <w:p w14:paraId="6EA621EA" w14:textId="77777777" w:rsidR="00985B98" w:rsidRDefault="00000000">
            <w:pPr>
              <w:keepNext/>
              <w:keepLines/>
              <w:spacing w:after="0" w:line="240" w:lineRule="auto"/>
            </w:pPr>
            <w:r>
              <w:rPr>
                <w:sz w:val="18"/>
              </w:rPr>
              <w:t>4</w:t>
            </w:r>
          </w:p>
        </w:tc>
        <w:tc>
          <w:tcPr>
            <w:tcW w:w="3180" w:type="dxa"/>
            <w:tcMar>
              <w:top w:w="0" w:type="dxa"/>
              <w:bottom w:w="0" w:type="dxa"/>
            </w:tcMar>
            <w:vAlign w:val="center"/>
          </w:tcPr>
          <w:p w14:paraId="766FEEAA" w14:textId="77777777" w:rsidR="00985B9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F23D5E3" w14:textId="77777777" w:rsidR="00985B98" w:rsidRDefault="00000000">
            <w:pPr>
              <w:keepNext/>
              <w:keepLines/>
              <w:spacing w:after="0" w:line="240" w:lineRule="auto"/>
            </w:pPr>
            <w:r>
              <w:rPr>
                <w:sz w:val="18"/>
              </w:rPr>
              <w:t>4</w:t>
            </w:r>
          </w:p>
        </w:tc>
        <w:tc>
          <w:tcPr>
            <w:tcW w:w="1860" w:type="dxa"/>
            <w:tcMar>
              <w:top w:w="0" w:type="dxa"/>
              <w:bottom w:w="0" w:type="dxa"/>
            </w:tcMar>
            <w:vAlign w:val="center"/>
          </w:tcPr>
          <w:p w14:paraId="5CD12F1E" w14:textId="77777777" w:rsidR="00985B98" w:rsidRDefault="00000000">
            <w:pPr>
              <w:keepNext/>
              <w:keepLines/>
              <w:spacing w:after="0" w:line="240" w:lineRule="auto"/>
              <w:jc w:val="right"/>
            </w:pPr>
            <w:r>
              <w:rPr>
                <w:sz w:val="18"/>
              </w:rPr>
              <w:t>19.056,65</w:t>
            </w:r>
          </w:p>
        </w:tc>
        <w:tc>
          <w:tcPr>
            <w:tcW w:w="1860" w:type="dxa"/>
            <w:tcMar>
              <w:top w:w="0" w:type="dxa"/>
              <w:bottom w:w="0" w:type="dxa"/>
            </w:tcMar>
            <w:vAlign w:val="center"/>
          </w:tcPr>
          <w:p w14:paraId="600980F1" w14:textId="77777777" w:rsidR="00985B98" w:rsidRDefault="00000000">
            <w:pPr>
              <w:keepNext/>
              <w:keepLines/>
              <w:spacing w:after="0" w:line="240" w:lineRule="auto"/>
              <w:jc w:val="right"/>
            </w:pPr>
            <w:r>
              <w:rPr>
                <w:sz w:val="18"/>
              </w:rPr>
              <w:t>29.147,37</w:t>
            </w:r>
          </w:p>
        </w:tc>
        <w:tc>
          <w:tcPr>
            <w:tcW w:w="700" w:type="dxa"/>
            <w:tcMar>
              <w:top w:w="0" w:type="dxa"/>
              <w:bottom w:w="0" w:type="dxa"/>
            </w:tcMar>
            <w:vAlign w:val="center"/>
          </w:tcPr>
          <w:p w14:paraId="67A47EBB" w14:textId="77777777" w:rsidR="00985B98" w:rsidRDefault="00000000">
            <w:pPr>
              <w:keepNext/>
              <w:keepLines/>
              <w:spacing w:after="0" w:line="240" w:lineRule="auto"/>
              <w:jc w:val="right"/>
            </w:pPr>
            <w:r>
              <w:rPr>
                <w:sz w:val="18"/>
              </w:rPr>
              <w:t>153,0</w:t>
            </w:r>
          </w:p>
        </w:tc>
      </w:tr>
      <w:tr w:rsidR="00985B98" w14:paraId="528A3280" w14:textId="77777777">
        <w:trPr>
          <w:cantSplit/>
          <w:trHeight w:val="560"/>
        </w:trPr>
        <w:tc>
          <w:tcPr>
            <w:tcW w:w="700" w:type="dxa"/>
            <w:tcMar>
              <w:top w:w="0" w:type="dxa"/>
              <w:bottom w:w="0" w:type="dxa"/>
            </w:tcMar>
            <w:vAlign w:val="center"/>
          </w:tcPr>
          <w:p w14:paraId="60ABA7AC" w14:textId="77777777" w:rsidR="00985B98" w:rsidRDefault="00985B98">
            <w:pPr>
              <w:keepNext/>
              <w:keepLines/>
              <w:spacing w:after="0" w:line="240" w:lineRule="auto"/>
            </w:pPr>
          </w:p>
        </w:tc>
        <w:tc>
          <w:tcPr>
            <w:tcW w:w="3180" w:type="dxa"/>
            <w:tcMar>
              <w:top w:w="0" w:type="dxa"/>
              <w:bottom w:w="0" w:type="dxa"/>
            </w:tcMar>
            <w:vAlign w:val="center"/>
          </w:tcPr>
          <w:p w14:paraId="344C646D" w14:textId="77777777" w:rsidR="00985B9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1B5757F" w14:textId="77777777" w:rsidR="00985B98" w:rsidRDefault="00000000">
            <w:pPr>
              <w:keepNext/>
              <w:keepLines/>
              <w:spacing w:after="0" w:line="240" w:lineRule="auto"/>
            </w:pPr>
            <w:r>
              <w:rPr>
                <w:b/>
                <w:sz w:val="18"/>
              </w:rPr>
              <w:t>Y002</w:t>
            </w:r>
          </w:p>
        </w:tc>
        <w:tc>
          <w:tcPr>
            <w:tcW w:w="1860" w:type="dxa"/>
            <w:tcMar>
              <w:top w:w="0" w:type="dxa"/>
              <w:bottom w:w="0" w:type="dxa"/>
            </w:tcMar>
            <w:vAlign w:val="center"/>
          </w:tcPr>
          <w:p w14:paraId="5969896A" w14:textId="77777777" w:rsidR="00985B98" w:rsidRDefault="00000000">
            <w:pPr>
              <w:keepNext/>
              <w:keepLines/>
              <w:spacing w:after="0" w:line="240" w:lineRule="auto"/>
              <w:jc w:val="right"/>
            </w:pPr>
            <w:r>
              <w:rPr>
                <w:b/>
                <w:sz w:val="18"/>
              </w:rPr>
              <w:t>19.056,65</w:t>
            </w:r>
          </w:p>
        </w:tc>
        <w:tc>
          <w:tcPr>
            <w:tcW w:w="1860" w:type="dxa"/>
            <w:tcMar>
              <w:top w:w="0" w:type="dxa"/>
              <w:bottom w:w="0" w:type="dxa"/>
            </w:tcMar>
            <w:vAlign w:val="center"/>
          </w:tcPr>
          <w:p w14:paraId="40C98026" w14:textId="77777777" w:rsidR="00985B98" w:rsidRDefault="00000000">
            <w:pPr>
              <w:keepNext/>
              <w:keepLines/>
              <w:spacing w:after="0" w:line="240" w:lineRule="auto"/>
              <w:jc w:val="right"/>
            </w:pPr>
            <w:r>
              <w:rPr>
                <w:b/>
                <w:sz w:val="18"/>
              </w:rPr>
              <w:t>29.147,37</w:t>
            </w:r>
          </w:p>
        </w:tc>
        <w:tc>
          <w:tcPr>
            <w:tcW w:w="700" w:type="dxa"/>
            <w:tcMar>
              <w:top w:w="0" w:type="dxa"/>
              <w:bottom w:w="0" w:type="dxa"/>
            </w:tcMar>
            <w:vAlign w:val="center"/>
          </w:tcPr>
          <w:p w14:paraId="0D460714" w14:textId="77777777" w:rsidR="00985B98" w:rsidRDefault="00000000">
            <w:pPr>
              <w:keepNext/>
              <w:keepLines/>
              <w:spacing w:after="0" w:line="240" w:lineRule="auto"/>
              <w:jc w:val="right"/>
            </w:pPr>
            <w:r>
              <w:rPr>
                <w:b/>
                <w:sz w:val="18"/>
              </w:rPr>
              <w:t>153,0</w:t>
            </w:r>
          </w:p>
        </w:tc>
      </w:tr>
      <w:tr w:rsidR="00985B98" w14:paraId="1A258D87" w14:textId="77777777">
        <w:trPr>
          <w:cantSplit/>
          <w:trHeight w:val="560"/>
        </w:trPr>
        <w:tc>
          <w:tcPr>
            <w:tcW w:w="700" w:type="dxa"/>
            <w:tcMar>
              <w:top w:w="0" w:type="dxa"/>
              <w:bottom w:w="0" w:type="dxa"/>
            </w:tcMar>
            <w:vAlign w:val="center"/>
          </w:tcPr>
          <w:p w14:paraId="1AC04719" w14:textId="77777777" w:rsidR="00985B98" w:rsidRDefault="00000000">
            <w:pPr>
              <w:keepNext/>
              <w:keepLines/>
              <w:spacing w:after="0" w:line="240" w:lineRule="auto"/>
            </w:pPr>
            <w:r>
              <w:rPr>
                <w:sz w:val="18"/>
              </w:rPr>
              <w:t>8</w:t>
            </w:r>
          </w:p>
        </w:tc>
        <w:tc>
          <w:tcPr>
            <w:tcW w:w="3180" w:type="dxa"/>
            <w:tcMar>
              <w:top w:w="0" w:type="dxa"/>
              <w:bottom w:w="0" w:type="dxa"/>
            </w:tcMar>
            <w:vAlign w:val="center"/>
          </w:tcPr>
          <w:p w14:paraId="5D744174" w14:textId="77777777" w:rsidR="00985B9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FFFE1E5" w14:textId="77777777" w:rsidR="00985B98" w:rsidRDefault="00000000">
            <w:pPr>
              <w:keepNext/>
              <w:keepLines/>
              <w:spacing w:after="0" w:line="240" w:lineRule="auto"/>
            </w:pPr>
            <w:r>
              <w:rPr>
                <w:sz w:val="18"/>
              </w:rPr>
              <w:t>8</w:t>
            </w:r>
          </w:p>
        </w:tc>
        <w:tc>
          <w:tcPr>
            <w:tcW w:w="1860" w:type="dxa"/>
            <w:tcMar>
              <w:top w:w="0" w:type="dxa"/>
              <w:bottom w:w="0" w:type="dxa"/>
            </w:tcMar>
            <w:vAlign w:val="center"/>
          </w:tcPr>
          <w:p w14:paraId="2689F778" w14:textId="77777777" w:rsidR="00985B98" w:rsidRDefault="00000000">
            <w:pPr>
              <w:keepNext/>
              <w:keepLines/>
              <w:spacing w:after="0" w:line="240" w:lineRule="auto"/>
              <w:jc w:val="right"/>
            </w:pPr>
            <w:r>
              <w:rPr>
                <w:sz w:val="18"/>
              </w:rPr>
              <w:t>0,00</w:t>
            </w:r>
          </w:p>
        </w:tc>
        <w:tc>
          <w:tcPr>
            <w:tcW w:w="1860" w:type="dxa"/>
            <w:tcMar>
              <w:top w:w="0" w:type="dxa"/>
              <w:bottom w:w="0" w:type="dxa"/>
            </w:tcMar>
            <w:vAlign w:val="center"/>
          </w:tcPr>
          <w:p w14:paraId="15E771F1" w14:textId="77777777" w:rsidR="00985B98" w:rsidRDefault="00000000">
            <w:pPr>
              <w:keepNext/>
              <w:keepLines/>
              <w:spacing w:after="0" w:line="240" w:lineRule="auto"/>
              <w:jc w:val="right"/>
            </w:pPr>
            <w:r>
              <w:rPr>
                <w:sz w:val="18"/>
              </w:rPr>
              <w:t>0,00</w:t>
            </w:r>
          </w:p>
        </w:tc>
        <w:tc>
          <w:tcPr>
            <w:tcW w:w="700" w:type="dxa"/>
            <w:tcMar>
              <w:top w:w="0" w:type="dxa"/>
              <w:bottom w:w="0" w:type="dxa"/>
            </w:tcMar>
            <w:vAlign w:val="center"/>
          </w:tcPr>
          <w:p w14:paraId="6B0AD8A1" w14:textId="77777777" w:rsidR="00985B98" w:rsidRDefault="00000000">
            <w:pPr>
              <w:keepNext/>
              <w:keepLines/>
              <w:spacing w:after="0" w:line="240" w:lineRule="auto"/>
              <w:jc w:val="right"/>
            </w:pPr>
            <w:r>
              <w:rPr>
                <w:sz w:val="18"/>
              </w:rPr>
              <w:t>-</w:t>
            </w:r>
          </w:p>
        </w:tc>
      </w:tr>
      <w:tr w:rsidR="00985B98" w14:paraId="10AE2DB2" w14:textId="77777777">
        <w:trPr>
          <w:cantSplit/>
          <w:trHeight w:val="560"/>
        </w:trPr>
        <w:tc>
          <w:tcPr>
            <w:tcW w:w="700" w:type="dxa"/>
            <w:tcMar>
              <w:top w:w="0" w:type="dxa"/>
              <w:bottom w:w="0" w:type="dxa"/>
            </w:tcMar>
            <w:vAlign w:val="center"/>
          </w:tcPr>
          <w:p w14:paraId="2DB34365" w14:textId="77777777" w:rsidR="00985B98" w:rsidRDefault="00000000">
            <w:pPr>
              <w:keepNext/>
              <w:keepLines/>
              <w:spacing w:after="0" w:line="240" w:lineRule="auto"/>
            </w:pPr>
            <w:r>
              <w:rPr>
                <w:sz w:val="18"/>
              </w:rPr>
              <w:t>5</w:t>
            </w:r>
          </w:p>
        </w:tc>
        <w:tc>
          <w:tcPr>
            <w:tcW w:w="3180" w:type="dxa"/>
            <w:tcMar>
              <w:top w:w="0" w:type="dxa"/>
              <w:bottom w:w="0" w:type="dxa"/>
            </w:tcMar>
            <w:vAlign w:val="center"/>
          </w:tcPr>
          <w:p w14:paraId="512D3AE1" w14:textId="77777777" w:rsidR="00985B9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F38A4A0" w14:textId="77777777" w:rsidR="00985B98" w:rsidRDefault="00000000">
            <w:pPr>
              <w:keepNext/>
              <w:keepLines/>
              <w:spacing w:after="0" w:line="240" w:lineRule="auto"/>
            </w:pPr>
            <w:r>
              <w:rPr>
                <w:sz w:val="18"/>
              </w:rPr>
              <w:t>5</w:t>
            </w:r>
          </w:p>
        </w:tc>
        <w:tc>
          <w:tcPr>
            <w:tcW w:w="1860" w:type="dxa"/>
            <w:tcMar>
              <w:top w:w="0" w:type="dxa"/>
              <w:bottom w:w="0" w:type="dxa"/>
            </w:tcMar>
            <w:vAlign w:val="center"/>
          </w:tcPr>
          <w:p w14:paraId="4B1074A0" w14:textId="77777777" w:rsidR="00985B98" w:rsidRDefault="00000000">
            <w:pPr>
              <w:keepNext/>
              <w:keepLines/>
              <w:spacing w:after="0" w:line="240" w:lineRule="auto"/>
              <w:jc w:val="right"/>
            </w:pPr>
            <w:r>
              <w:rPr>
                <w:sz w:val="18"/>
              </w:rPr>
              <w:t>0,00</w:t>
            </w:r>
          </w:p>
        </w:tc>
        <w:tc>
          <w:tcPr>
            <w:tcW w:w="1860" w:type="dxa"/>
            <w:tcMar>
              <w:top w:w="0" w:type="dxa"/>
              <w:bottom w:w="0" w:type="dxa"/>
            </w:tcMar>
            <w:vAlign w:val="center"/>
          </w:tcPr>
          <w:p w14:paraId="51570A8C" w14:textId="77777777" w:rsidR="00985B98" w:rsidRDefault="00000000">
            <w:pPr>
              <w:keepNext/>
              <w:keepLines/>
              <w:spacing w:after="0" w:line="240" w:lineRule="auto"/>
              <w:jc w:val="right"/>
            </w:pPr>
            <w:r>
              <w:rPr>
                <w:sz w:val="18"/>
              </w:rPr>
              <w:t>0,00</w:t>
            </w:r>
          </w:p>
        </w:tc>
        <w:tc>
          <w:tcPr>
            <w:tcW w:w="700" w:type="dxa"/>
            <w:tcMar>
              <w:top w:w="0" w:type="dxa"/>
              <w:bottom w:w="0" w:type="dxa"/>
            </w:tcMar>
            <w:vAlign w:val="center"/>
          </w:tcPr>
          <w:p w14:paraId="133C7055" w14:textId="77777777" w:rsidR="00985B98" w:rsidRDefault="00000000">
            <w:pPr>
              <w:keepNext/>
              <w:keepLines/>
              <w:spacing w:after="0" w:line="240" w:lineRule="auto"/>
              <w:jc w:val="right"/>
            </w:pPr>
            <w:r>
              <w:rPr>
                <w:sz w:val="18"/>
              </w:rPr>
              <w:t>-</w:t>
            </w:r>
          </w:p>
        </w:tc>
      </w:tr>
      <w:tr w:rsidR="00985B98" w14:paraId="53E19013" w14:textId="77777777">
        <w:trPr>
          <w:cantSplit/>
          <w:trHeight w:val="560"/>
        </w:trPr>
        <w:tc>
          <w:tcPr>
            <w:tcW w:w="700" w:type="dxa"/>
            <w:tcMar>
              <w:top w:w="0" w:type="dxa"/>
              <w:bottom w:w="0" w:type="dxa"/>
            </w:tcMar>
            <w:vAlign w:val="center"/>
          </w:tcPr>
          <w:p w14:paraId="051BBDB7" w14:textId="77777777" w:rsidR="00985B98" w:rsidRDefault="00985B98">
            <w:pPr>
              <w:keepNext/>
              <w:keepLines/>
              <w:spacing w:after="0" w:line="240" w:lineRule="auto"/>
            </w:pPr>
          </w:p>
        </w:tc>
        <w:tc>
          <w:tcPr>
            <w:tcW w:w="3180" w:type="dxa"/>
            <w:tcMar>
              <w:top w:w="0" w:type="dxa"/>
              <w:bottom w:w="0" w:type="dxa"/>
            </w:tcMar>
            <w:vAlign w:val="center"/>
          </w:tcPr>
          <w:p w14:paraId="1449C3DD" w14:textId="77777777" w:rsidR="00985B98"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CEBB978" w14:textId="77777777" w:rsidR="00985B98" w:rsidRDefault="00000000">
            <w:pPr>
              <w:keepNext/>
              <w:keepLines/>
              <w:spacing w:after="0" w:line="240" w:lineRule="auto"/>
            </w:pPr>
            <w:r>
              <w:rPr>
                <w:b/>
                <w:sz w:val="18"/>
              </w:rPr>
              <w:t>X003, Y003</w:t>
            </w:r>
          </w:p>
        </w:tc>
        <w:tc>
          <w:tcPr>
            <w:tcW w:w="1860" w:type="dxa"/>
            <w:tcMar>
              <w:top w:w="0" w:type="dxa"/>
              <w:bottom w:w="0" w:type="dxa"/>
            </w:tcMar>
            <w:vAlign w:val="center"/>
          </w:tcPr>
          <w:p w14:paraId="2A3715AC" w14:textId="77777777" w:rsidR="00985B98" w:rsidRDefault="00000000">
            <w:pPr>
              <w:keepNext/>
              <w:keepLines/>
              <w:spacing w:after="0" w:line="240" w:lineRule="auto"/>
              <w:jc w:val="right"/>
            </w:pPr>
            <w:r>
              <w:rPr>
                <w:b/>
                <w:sz w:val="18"/>
              </w:rPr>
              <w:t>0,00</w:t>
            </w:r>
          </w:p>
        </w:tc>
        <w:tc>
          <w:tcPr>
            <w:tcW w:w="1860" w:type="dxa"/>
            <w:tcMar>
              <w:top w:w="0" w:type="dxa"/>
              <w:bottom w:w="0" w:type="dxa"/>
            </w:tcMar>
            <w:vAlign w:val="center"/>
          </w:tcPr>
          <w:p w14:paraId="1E4742AD" w14:textId="77777777" w:rsidR="00985B98" w:rsidRDefault="00000000">
            <w:pPr>
              <w:keepNext/>
              <w:keepLines/>
              <w:spacing w:after="0" w:line="240" w:lineRule="auto"/>
              <w:jc w:val="right"/>
            </w:pPr>
            <w:r>
              <w:rPr>
                <w:b/>
                <w:sz w:val="18"/>
              </w:rPr>
              <w:t>0,00</w:t>
            </w:r>
          </w:p>
        </w:tc>
        <w:tc>
          <w:tcPr>
            <w:tcW w:w="700" w:type="dxa"/>
            <w:tcMar>
              <w:top w:w="0" w:type="dxa"/>
              <w:bottom w:w="0" w:type="dxa"/>
            </w:tcMar>
            <w:vAlign w:val="center"/>
          </w:tcPr>
          <w:p w14:paraId="2ED59C7F" w14:textId="77777777" w:rsidR="00985B98" w:rsidRDefault="00000000">
            <w:pPr>
              <w:keepNext/>
              <w:keepLines/>
              <w:spacing w:after="0" w:line="240" w:lineRule="auto"/>
              <w:jc w:val="right"/>
            </w:pPr>
            <w:r>
              <w:rPr>
                <w:b/>
                <w:sz w:val="18"/>
              </w:rPr>
              <w:t>-</w:t>
            </w:r>
          </w:p>
        </w:tc>
      </w:tr>
      <w:tr w:rsidR="00985B98" w14:paraId="12F7E2C3" w14:textId="77777777">
        <w:trPr>
          <w:cantSplit/>
          <w:trHeight w:val="560"/>
        </w:trPr>
        <w:tc>
          <w:tcPr>
            <w:tcW w:w="700" w:type="dxa"/>
            <w:tcMar>
              <w:top w:w="0" w:type="dxa"/>
              <w:bottom w:w="0" w:type="dxa"/>
            </w:tcMar>
            <w:vAlign w:val="center"/>
          </w:tcPr>
          <w:p w14:paraId="0F60FDE0" w14:textId="77777777" w:rsidR="00985B98" w:rsidRDefault="00985B98">
            <w:pPr>
              <w:keepNext/>
              <w:keepLines/>
              <w:spacing w:after="0" w:line="240" w:lineRule="auto"/>
            </w:pPr>
          </w:p>
        </w:tc>
        <w:tc>
          <w:tcPr>
            <w:tcW w:w="3180" w:type="dxa"/>
            <w:tcMar>
              <w:top w:w="0" w:type="dxa"/>
              <w:bottom w:w="0" w:type="dxa"/>
            </w:tcMar>
            <w:vAlign w:val="center"/>
          </w:tcPr>
          <w:p w14:paraId="16F82D1B" w14:textId="77777777" w:rsidR="00985B98"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49E71729" w14:textId="77777777" w:rsidR="00985B98" w:rsidRDefault="00000000">
            <w:pPr>
              <w:keepNext/>
              <w:keepLines/>
              <w:spacing w:after="0" w:line="240" w:lineRule="auto"/>
            </w:pPr>
            <w:r>
              <w:rPr>
                <w:b/>
                <w:sz w:val="18"/>
              </w:rPr>
              <w:t>Y005</w:t>
            </w:r>
          </w:p>
        </w:tc>
        <w:tc>
          <w:tcPr>
            <w:tcW w:w="1860" w:type="dxa"/>
            <w:tcMar>
              <w:top w:w="0" w:type="dxa"/>
              <w:bottom w:w="0" w:type="dxa"/>
            </w:tcMar>
            <w:vAlign w:val="center"/>
          </w:tcPr>
          <w:p w14:paraId="41705C22" w14:textId="77777777" w:rsidR="00985B98" w:rsidRDefault="00000000">
            <w:pPr>
              <w:keepNext/>
              <w:keepLines/>
              <w:spacing w:after="0" w:line="240" w:lineRule="auto"/>
              <w:jc w:val="right"/>
            </w:pPr>
            <w:r>
              <w:rPr>
                <w:b/>
                <w:sz w:val="18"/>
              </w:rPr>
              <w:t>7.607,51</w:t>
            </w:r>
          </w:p>
        </w:tc>
        <w:tc>
          <w:tcPr>
            <w:tcW w:w="1860" w:type="dxa"/>
            <w:tcMar>
              <w:top w:w="0" w:type="dxa"/>
              <w:bottom w:w="0" w:type="dxa"/>
            </w:tcMar>
            <w:vAlign w:val="center"/>
          </w:tcPr>
          <w:p w14:paraId="0E8B4ED5" w14:textId="77777777" w:rsidR="00985B98" w:rsidRDefault="00000000">
            <w:pPr>
              <w:keepNext/>
              <w:keepLines/>
              <w:spacing w:after="0" w:line="240" w:lineRule="auto"/>
              <w:jc w:val="right"/>
            </w:pPr>
            <w:r>
              <w:rPr>
                <w:b/>
                <w:sz w:val="18"/>
              </w:rPr>
              <w:t>98.911,69</w:t>
            </w:r>
          </w:p>
        </w:tc>
        <w:tc>
          <w:tcPr>
            <w:tcW w:w="700" w:type="dxa"/>
            <w:tcMar>
              <w:top w:w="0" w:type="dxa"/>
              <w:bottom w:w="0" w:type="dxa"/>
            </w:tcMar>
            <w:vAlign w:val="center"/>
          </w:tcPr>
          <w:p w14:paraId="115C09FD" w14:textId="77777777" w:rsidR="00985B98" w:rsidRDefault="00000000">
            <w:pPr>
              <w:keepNext/>
              <w:keepLines/>
              <w:spacing w:after="0" w:line="240" w:lineRule="auto"/>
              <w:jc w:val="right"/>
            </w:pPr>
            <w:r>
              <w:rPr>
                <w:b/>
                <w:sz w:val="18"/>
              </w:rPr>
              <w:t>1300,2</w:t>
            </w:r>
          </w:p>
        </w:tc>
      </w:tr>
    </w:tbl>
    <w:p w14:paraId="4AC320FD" w14:textId="77777777" w:rsidR="00985B98" w:rsidRDefault="00985B98">
      <w:pPr>
        <w:spacing w:after="0"/>
      </w:pPr>
    </w:p>
    <w:p w14:paraId="3AD5750F" w14:textId="4DD0C00E" w:rsidR="00985B98" w:rsidRDefault="00000000" w:rsidP="00E82141">
      <w:pPr>
        <w:jc w:val="both"/>
      </w:pPr>
      <w:r>
        <w:t xml:space="preserve">Ukupni prihodi ostvareni od 1. siječnja do 31. prosinca 2025. godine iznose 1.090.052,91€, a sastoje se od tekuće pomoći proračunskim korisnicima od proračuna koji im nije nadležan u ukupnom iznosu 984.174,00€, od čega je prihod iz državnog proračuna 978.083,67€, a od općine Dvor 6.090,33€. Prihodi od nadležnog proračuna, odnosno Sisačko-moslavačke županije iznose 99.553,561€. Prihodi od prodaje proizvoda i roba, pruženih usluga i donacija te povrati po protestiranim jamstvima iznose 4.551,04€, a odnose se na prihode od pruženih usluga u iznosu 592,04€ i tekuće donacije u iznosu 3,959,00€. Tekuće pomoći od ostalih </w:t>
      </w:r>
      <w:r>
        <w:lastRenderedPageBreak/>
        <w:t>izvanproračunskih korisnika državnog proračuna iznose 1.510,20€, a tekuće pomoći od izvanproračunskih korisnika JLP(R)S su 264,00€. Prihodi od kamata na oročena sredstva i depozite po viđenju su 0,06€. U odnosu na ostvareno u izvještajnom razdoblju prethodne godine ukupni prihodi su veći za 7,1%. Rast prihoda je ostvaren po osnovi prihoda od proračuna koji nije nadležan, to jest od Ministarstva znanosti, obrazovanja i mladih, zbog povećanja osnovica za obračun plaća zaposlenika, po osnovi prihoda od nadležnog proračuna, odnosno Sisačko-moslavačke županije te po osnovi prihoda od tekućih donacija, dok su svi ostali navedeni prihodi manji u odnosu na izvještajno razdoblje prethodne godine. Ukupni rashodi od 1. siječnja do 30. prosinca 2025. godine iznose 1.188.964,60€, od čega su rashodi poslovanja 1.159.817,23€, a rashodi za nabavu nefinancijske imovine 29.147,37€. Najveći iznos rashoda se odnosi na rashode za zaposlene 973.6519,70€ i materijalne rashode 186.297,53€. Ukupni rashodi su veći za 15,9% u usporedbi s prošlogodišnjim izvještajnim razdobljem.</w:t>
      </w:r>
    </w:p>
    <w:p w14:paraId="29F8908D" w14:textId="77777777" w:rsidR="00985B98" w:rsidRDefault="00000000">
      <w:r>
        <w:br/>
      </w:r>
    </w:p>
    <w:p w14:paraId="3FCE2B5E" w14:textId="77777777" w:rsidR="00985B9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501F8B3F" w14:textId="77777777">
        <w:trPr>
          <w:cantSplit/>
        </w:trPr>
        <w:tc>
          <w:tcPr>
            <w:tcW w:w="700" w:type="dxa"/>
            <w:shd w:val="clear" w:color="auto" w:fill="E7F0F9"/>
            <w:tcMar>
              <w:top w:w="0" w:type="dxa"/>
              <w:bottom w:w="0" w:type="dxa"/>
            </w:tcMar>
            <w:vAlign w:val="center"/>
          </w:tcPr>
          <w:p w14:paraId="63628D30"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CF54AF"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F0AD24"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F29AD"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5EA564"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FBDB79" w14:textId="77777777" w:rsidR="00985B98" w:rsidRDefault="00000000">
            <w:pPr>
              <w:keepNext/>
              <w:keepLines/>
              <w:spacing w:after="0" w:line="240" w:lineRule="auto"/>
              <w:jc w:val="center"/>
            </w:pPr>
            <w:r>
              <w:rPr>
                <w:b/>
                <w:sz w:val="18"/>
              </w:rPr>
              <w:t>Indeks (%)</w:t>
            </w:r>
          </w:p>
        </w:tc>
      </w:tr>
      <w:tr w:rsidR="00985B98" w14:paraId="7CB991AD" w14:textId="77777777">
        <w:trPr>
          <w:cantSplit/>
          <w:trHeight w:val="560"/>
        </w:trPr>
        <w:tc>
          <w:tcPr>
            <w:tcW w:w="700" w:type="dxa"/>
            <w:tcMar>
              <w:top w:w="0" w:type="dxa"/>
              <w:bottom w:w="0" w:type="dxa"/>
            </w:tcMar>
            <w:vAlign w:val="center"/>
          </w:tcPr>
          <w:p w14:paraId="652DC501" w14:textId="77777777" w:rsidR="00985B98" w:rsidRDefault="00000000">
            <w:pPr>
              <w:keepNext/>
              <w:keepLines/>
              <w:spacing w:after="0" w:line="240" w:lineRule="auto"/>
            </w:pPr>
            <w:r>
              <w:rPr>
                <w:sz w:val="18"/>
              </w:rPr>
              <w:t>6</w:t>
            </w:r>
          </w:p>
        </w:tc>
        <w:tc>
          <w:tcPr>
            <w:tcW w:w="3180" w:type="dxa"/>
            <w:tcMar>
              <w:top w:w="0" w:type="dxa"/>
              <w:bottom w:w="0" w:type="dxa"/>
            </w:tcMar>
            <w:vAlign w:val="center"/>
          </w:tcPr>
          <w:p w14:paraId="27EB9E64" w14:textId="77777777" w:rsidR="00985B9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52832CE" w14:textId="77777777" w:rsidR="00985B98" w:rsidRDefault="00000000">
            <w:pPr>
              <w:keepNext/>
              <w:keepLines/>
              <w:spacing w:after="0" w:line="240" w:lineRule="auto"/>
            </w:pPr>
            <w:r>
              <w:rPr>
                <w:sz w:val="18"/>
              </w:rPr>
              <w:t>6</w:t>
            </w:r>
          </w:p>
        </w:tc>
        <w:tc>
          <w:tcPr>
            <w:tcW w:w="1860" w:type="dxa"/>
            <w:tcMar>
              <w:top w:w="0" w:type="dxa"/>
              <w:bottom w:w="0" w:type="dxa"/>
            </w:tcMar>
            <w:vAlign w:val="center"/>
          </w:tcPr>
          <w:p w14:paraId="4231BF75" w14:textId="77777777" w:rsidR="00985B98" w:rsidRDefault="00000000">
            <w:pPr>
              <w:keepNext/>
              <w:keepLines/>
              <w:spacing w:after="0" w:line="240" w:lineRule="auto"/>
              <w:jc w:val="right"/>
            </w:pPr>
            <w:r>
              <w:rPr>
                <w:sz w:val="18"/>
              </w:rPr>
              <w:t>1.018.168,42</w:t>
            </w:r>
          </w:p>
        </w:tc>
        <w:tc>
          <w:tcPr>
            <w:tcW w:w="1860" w:type="dxa"/>
            <w:tcMar>
              <w:top w:w="0" w:type="dxa"/>
              <w:bottom w:w="0" w:type="dxa"/>
            </w:tcMar>
            <w:vAlign w:val="center"/>
          </w:tcPr>
          <w:p w14:paraId="098AD54E" w14:textId="77777777" w:rsidR="00985B98" w:rsidRDefault="00000000">
            <w:pPr>
              <w:keepNext/>
              <w:keepLines/>
              <w:spacing w:after="0" w:line="240" w:lineRule="auto"/>
              <w:jc w:val="right"/>
            </w:pPr>
            <w:r>
              <w:rPr>
                <w:sz w:val="18"/>
              </w:rPr>
              <w:t>1.090.052,91</w:t>
            </w:r>
          </w:p>
        </w:tc>
        <w:tc>
          <w:tcPr>
            <w:tcW w:w="700" w:type="dxa"/>
            <w:tcMar>
              <w:top w:w="0" w:type="dxa"/>
              <w:bottom w:w="0" w:type="dxa"/>
            </w:tcMar>
            <w:vAlign w:val="center"/>
          </w:tcPr>
          <w:p w14:paraId="2E25D718" w14:textId="77777777" w:rsidR="00985B98" w:rsidRDefault="00000000">
            <w:pPr>
              <w:keepNext/>
              <w:keepLines/>
              <w:spacing w:after="0" w:line="240" w:lineRule="auto"/>
              <w:jc w:val="right"/>
            </w:pPr>
            <w:r>
              <w:rPr>
                <w:sz w:val="18"/>
              </w:rPr>
              <w:t>107,1</w:t>
            </w:r>
          </w:p>
        </w:tc>
      </w:tr>
    </w:tbl>
    <w:p w14:paraId="76169181" w14:textId="77777777" w:rsidR="00985B98" w:rsidRDefault="00985B98">
      <w:pPr>
        <w:spacing w:after="0"/>
      </w:pPr>
    </w:p>
    <w:p w14:paraId="5AD90536" w14:textId="5C64C14F" w:rsidR="00985B98" w:rsidRDefault="00000000">
      <w:r>
        <w:t>Ukupni prihodi poslovanja ostvareni od 1. siječnja do 31. prosinca 2025. godine iznose 1.090.052,91€ te su veći za 7,1% u odnosu na 2024. godinu.</w:t>
      </w:r>
    </w:p>
    <w:p w14:paraId="52A9D27D" w14:textId="77777777" w:rsidR="00985B98" w:rsidRDefault="00985B98"/>
    <w:p w14:paraId="57FCF880" w14:textId="77777777" w:rsidR="00985B9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4A38C09D" w14:textId="77777777">
        <w:trPr>
          <w:cantSplit/>
        </w:trPr>
        <w:tc>
          <w:tcPr>
            <w:tcW w:w="700" w:type="dxa"/>
            <w:shd w:val="clear" w:color="auto" w:fill="E7F0F9"/>
            <w:tcMar>
              <w:top w:w="0" w:type="dxa"/>
              <w:bottom w:w="0" w:type="dxa"/>
            </w:tcMar>
            <w:vAlign w:val="center"/>
          </w:tcPr>
          <w:p w14:paraId="1ED62057"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A37B48"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BD2C2E"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54D54C"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87B6B9"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79C9A0" w14:textId="77777777" w:rsidR="00985B98" w:rsidRDefault="00000000">
            <w:pPr>
              <w:keepNext/>
              <w:keepLines/>
              <w:spacing w:after="0" w:line="240" w:lineRule="auto"/>
              <w:jc w:val="center"/>
            </w:pPr>
            <w:r>
              <w:rPr>
                <w:b/>
                <w:sz w:val="18"/>
              </w:rPr>
              <w:t>Indeks (%)</w:t>
            </w:r>
          </w:p>
        </w:tc>
      </w:tr>
      <w:tr w:rsidR="00985B98" w14:paraId="3B2A8A88" w14:textId="77777777">
        <w:trPr>
          <w:cantSplit/>
          <w:trHeight w:val="560"/>
        </w:trPr>
        <w:tc>
          <w:tcPr>
            <w:tcW w:w="700" w:type="dxa"/>
            <w:tcMar>
              <w:top w:w="0" w:type="dxa"/>
              <w:bottom w:w="0" w:type="dxa"/>
            </w:tcMar>
            <w:vAlign w:val="center"/>
          </w:tcPr>
          <w:p w14:paraId="7E42176E" w14:textId="77777777" w:rsidR="00985B98" w:rsidRDefault="00000000">
            <w:pPr>
              <w:keepNext/>
              <w:keepLines/>
              <w:spacing w:after="0" w:line="240" w:lineRule="auto"/>
            </w:pPr>
            <w:r>
              <w:rPr>
                <w:sz w:val="18"/>
              </w:rPr>
              <w:t>636</w:t>
            </w:r>
          </w:p>
        </w:tc>
        <w:tc>
          <w:tcPr>
            <w:tcW w:w="3180" w:type="dxa"/>
            <w:tcMar>
              <w:top w:w="0" w:type="dxa"/>
              <w:bottom w:w="0" w:type="dxa"/>
            </w:tcMar>
            <w:vAlign w:val="center"/>
          </w:tcPr>
          <w:p w14:paraId="4889D357" w14:textId="77777777" w:rsidR="00985B98"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6A7D9E86" w14:textId="77777777" w:rsidR="00985B98" w:rsidRDefault="00000000">
            <w:pPr>
              <w:keepNext/>
              <w:keepLines/>
              <w:spacing w:after="0" w:line="240" w:lineRule="auto"/>
            </w:pPr>
            <w:r>
              <w:rPr>
                <w:sz w:val="18"/>
              </w:rPr>
              <w:t>636</w:t>
            </w:r>
          </w:p>
        </w:tc>
        <w:tc>
          <w:tcPr>
            <w:tcW w:w="1860" w:type="dxa"/>
            <w:tcMar>
              <w:top w:w="0" w:type="dxa"/>
              <w:bottom w:w="0" w:type="dxa"/>
            </w:tcMar>
            <w:vAlign w:val="center"/>
          </w:tcPr>
          <w:p w14:paraId="7037666D" w14:textId="77777777" w:rsidR="00985B98" w:rsidRDefault="00000000">
            <w:pPr>
              <w:keepNext/>
              <w:keepLines/>
              <w:spacing w:after="0" w:line="240" w:lineRule="auto"/>
              <w:jc w:val="right"/>
            </w:pPr>
            <w:r>
              <w:rPr>
                <w:sz w:val="18"/>
              </w:rPr>
              <w:t>929.763,75</w:t>
            </w:r>
          </w:p>
        </w:tc>
        <w:tc>
          <w:tcPr>
            <w:tcW w:w="1860" w:type="dxa"/>
            <w:tcMar>
              <w:top w:w="0" w:type="dxa"/>
              <w:bottom w:w="0" w:type="dxa"/>
            </w:tcMar>
            <w:vAlign w:val="center"/>
          </w:tcPr>
          <w:p w14:paraId="18614515" w14:textId="77777777" w:rsidR="00985B98" w:rsidRDefault="00000000">
            <w:pPr>
              <w:keepNext/>
              <w:keepLines/>
              <w:spacing w:after="0" w:line="240" w:lineRule="auto"/>
              <w:jc w:val="right"/>
            </w:pPr>
            <w:r>
              <w:rPr>
                <w:sz w:val="18"/>
              </w:rPr>
              <w:t>984.174,00</w:t>
            </w:r>
          </w:p>
        </w:tc>
        <w:tc>
          <w:tcPr>
            <w:tcW w:w="700" w:type="dxa"/>
            <w:tcMar>
              <w:top w:w="0" w:type="dxa"/>
              <w:bottom w:w="0" w:type="dxa"/>
            </w:tcMar>
            <w:vAlign w:val="center"/>
          </w:tcPr>
          <w:p w14:paraId="66A3F63E" w14:textId="77777777" w:rsidR="00985B98" w:rsidRDefault="00000000">
            <w:pPr>
              <w:keepNext/>
              <w:keepLines/>
              <w:spacing w:after="0" w:line="240" w:lineRule="auto"/>
              <w:jc w:val="right"/>
            </w:pPr>
            <w:r>
              <w:rPr>
                <w:sz w:val="18"/>
              </w:rPr>
              <w:t>105,9</w:t>
            </w:r>
          </w:p>
        </w:tc>
      </w:tr>
    </w:tbl>
    <w:p w14:paraId="6A114D5C" w14:textId="77777777" w:rsidR="00985B98" w:rsidRDefault="00985B98">
      <w:pPr>
        <w:spacing w:after="0"/>
      </w:pPr>
    </w:p>
    <w:p w14:paraId="34D1A6FA" w14:textId="77777777" w:rsidR="00985B98" w:rsidRDefault="00000000">
      <w:r>
        <w:t>Pomoći proračunskim korisnicima iz proračuna koji nije nadležan su se povećali za 5,9% zbog porasta osnovice za isplatu plaće zaposlenika i zbog kapitalnih pomoći (sredstva za psihodijagnostičke instrumente).</w:t>
      </w:r>
    </w:p>
    <w:p w14:paraId="69FF9584" w14:textId="77777777" w:rsidR="00985B98" w:rsidRDefault="00985B98"/>
    <w:p w14:paraId="0D17DAD9" w14:textId="77777777" w:rsidR="00985B9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492A813F" w14:textId="77777777">
        <w:trPr>
          <w:cantSplit/>
        </w:trPr>
        <w:tc>
          <w:tcPr>
            <w:tcW w:w="700" w:type="dxa"/>
            <w:shd w:val="clear" w:color="auto" w:fill="E7F0F9"/>
            <w:tcMar>
              <w:top w:w="0" w:type="dxa"/>
              <w:bottom w:w="0" w:type="dxa"/>
            </w:tcMar>
            <w:vAlign w:val="center"/>
          </w:tcPr>
          <w:p w14:paraId="67336DE7"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0C242A"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D432A7"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810DF"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9C43E8"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E5EFBB" w14:textId="77777777" w:rsidR="00985B98" w:rsidRDefault="00000000">
            <w:pPr>
              <w:keepNext/>
              <w:keepLines/>
              <w:spacing w:after="0" w:line="240" w:lineRule="auto"/>
              <w:jc w:val="center"/>
            </w:pPr>
            <w:r>
              <w:rPr>
                <w:b/>
                <w:sz w:val="18"/>
              </w:rPr>
              <w:t>Indeks (%)</w:t>
            </w:r>
          </w:p>
        </w:tc>
      </w:tr>
      <w:tr w:rsidR="00985B98" w14:paraId="5122737A" w14:textId="77777777">
        <w:trPr>
          <w:cantSplit/>
          <w:trHeight w:val="560"/>
        </w:trPr>
        <w:tc>
          <w:tcPr>
            <w:tcW w:w="700" w:type="dxa"/>
            <w:tcMar>
              <w:top w:w="0" w:type="dxa"/>
              <w:bottom w:w="0" w:type="dxa"/>
            </w:tcMar>
            <w:vAlign w:val="center"/>
          </w:tcPr>
          <w:p w14:paraId="7EAD1D15" w14:textId="77777777" w:rsidR="00985B98" w:rsidRDefault="00000000">
            <w:pPr>
              <w:keepNext/>
              <w:keepLines/>
              <w:spacing w:after="0" w:line="240" w:lineRule="auto"/>
            </w:pPr>
            <w:r>
              <w:rPr>
                <w:sz w:val="18"/>
              </w:rPr>
              <w:t>6362</w:t>
            </w:r>
          </w:p>
        </w:tc>
        <w:tc>
          <w:tcPr>
            <w:tcW w:w="3180" w:type="dxa"/>
            <w:tcMar>
              <w:top w:w="0" w:type="dxa"/>
              <w:bottom w:w="0" w:type="dxa"/>
            </w:tcMar>
            <w:vAlign w:val="center"/>
          </w:tcPr>
          <w:p w14:paraId="5241AE9B" w14:textId="77777777" w:rsidR="00985B98"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3CD45370" w14:textId="77777777" w:rsidR="00985B98" w:rsidRDefault="00000000">
            <w:pPr>
              <w:keepNext/>
              <w:keepLines/>
              <w:spacing w:after="0" w:line="240" w:lineRule="auto"/>
            </w:pPr>
            <w:r>
              <w:rPr>
                <w:sz w:val="18"/>
              </w:rPr>
              <w:t>6362</w:t>
            </w:r>
          </w:p>
        </w:tc>
        <w:tc>
          <w:tcPr>
            <w:tcW w:w="1860" w:type="dxa"/>
            <w:tcMar>
              <w:top w:w="0" w:type="dxa"/>
              <w:bottom w:w="0" w:type="dxa"/>
            </w:tcMar>
            <w:vAlign w:val="center"/>
          </w:tcPr>
          <w:p w14:paraId="3891D571" w14:textId="77777777" w:rsidR="00985B98" w:rsidRDefault="00000000">
            <w:pPr>
              <w:keepNext/>
              <w:keepLines/>
              <w:spacing w:after="0" w:line="240" w:lineRule="auto"/>
              <w:jc w:val="right"/>
            </w:pPr>
            <w:r>
              <w:rPr>
                <w:sz w:val="18"/>
              </w:rPr>
              <w:t>8.713,94</w:t>
            </w:r>
          </w:p>
        </w:tc>
        <w:tc>
          <w:tcPr>
            <w:tcW w:w="1860" w:type="dxa"/>
            <w:tcMar>
              <w:top w:w="0" w:type="dxa"/>
              <w:bottom w:w="0" w:type="dxa"/>
            </w:tcMar>
            <w:vAlign w:val="center"/>
          </w:tcPr>
          <w:p w14:paraId="4DB61D27" w14:textId="77777777" w:rsidR="00985B98" w:rsidRDefault="00000000">
            <w:pPr>
              <w:keepNext/>
              <w:keepLines/>
              <w:spacing w:after="0" w:line="240" w:lineRule="auto"/>
              <w:jc w:val="right"/>
            </w:pPr>
            <w:r>
              <w:rPr>
                <w:sz w:val="18"/>
              </w:rPr>
              <w:t>10.348,37</w:t>
            </w:r>
          </w:p>
        </w:tc>
        <w:tc>
          <w:tcPr>
            <w:tcW w:w="700" w:type="dxa"/>
            <w:tcMar>
              <w:top w:w="0" w:type="dxa"/>
              <w:bottom w:w="0" w:type="dxa"/>
            </w:tcMar>
            <w:vAlign w:val="center"/>
          </w:tcPr>
          <w:p w14:paraId="5E89377C" w14:textId="77777777" w:rsidR="00985B98" w:rsidRDefault="00000000">
            <w:pPr>
              <w:keepNext/>
              <w:keepLines/>
              <w:spacing w:after="0" w:line="240" w:lineRule="auto"/>
              <w:jc w:val="right"/>
            </w:pPr>
            <w:r>
              <w:rPr>
                <w:sz w:val="18"/>
              </w:rPr>
              <w:t>118,8</w:t>
            </w:r>
          </w:p>
        </w:tc>
      </w:tr>
    </w:tbl>
    <w:p w14:paraId="31B4EA96" w14:textId="77777777" w:rsidR="00985B98" w:rsidRDefault="00985B98">
      <w:pPr>
        <w:spacing w:after="0"/>
      </w:pPr>
    </w:p>
    <w:p w14:paraId="0498391D" w14:textId="4D392BD6" w:rsidR="00985B98" w:rsidRDefault="00000000">
      <w:r>
        <w:lastRenderedPageBreak/>
        <w:t>Kapitalne pomoći iz državnog proračuna, odnosno od Ministarstva znanosti, obrazovanja i mladih su u porastu 18,8</w:t>
      </w:r>
      <w:r w:rsidR="00904B67">
        <w:t>%</w:t>
      </w:r>
      <w:r>
        <w:t xml:space="preserve"> zbog dobivenih sredstava za nabavu psihodijagnostičkih instrumenata, koja će biti nabavljena tijekom 2026. godine.</w:t>
      </w:r>
    </w:p>
    <w:p w14:paraId="5ED3BEFC" w14:textId="77777777" w:rsidR="00985B98" w:rsidRDefault="00985B98"/>
    <w:p w14:paraId="7C52C540" w14:textId="77777777" w:rsidR="00985B9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26FC02E1" w14:textId="77777777">
        <w:trPr>
          <w:cantSplit/>
        </w:trPr>
        <w:tc>
          <w:tcPr>
            <w:tcW w:w="700" w:type="dxa"/>
            <w:shd w:val="clear" w:color="auto" w:fill="E7F0F9"/>
            <w:tcMar>
              <w:top w:w="0" w:type="dxa"/>
              <w:bottom w:w="0" w:type="dxa"/>
            </w:tcMar>
            <w:vAlign w:val="center"/>
          </w:tcPr>
          <w:p w14:paraId="0E66242F"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86E355"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CC1FEC"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F19E3D"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506D97"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89151D" w14:textId="77777777" w:rsidR="00985B98" w:rsidRDefault="00000000">
            <w:pPr>
              <w:keepNext/>
              <w:keepLines/>
              <w:spacing w:after="0" w:line="240" w:lineRule="auto"/>
              <w:jc w:val="center"/>
            </w:pPr>
            <w:r>
              <w:rPr>
                <w:b/>
                <w:sz w:val="18"/>
              </w:rPr>
              <w:t>Indeks (%)</w:t>
            </w:r>
          </w:p>
        </w:tc>
      </w:tr>
      <w:tr w:rsidR="00985B98" w14:paraId="32BA25AF" w14:textId="77777777">
        <w:trPr>
          <w:cantSplit/>
          <w:trHeight w:val="560"/>
        </w:trPr>
        <w:tc>
          <w:tcPr>
            <w:tcW w:w="700" w:type="dxa"/>
            <w:tcMar>
              <w:top w:w="0" w:type="dxa"/>
              <w:bottom w:w="0" w:type="dxa"/>
            </w:tcMar>
            <w:vAlign w:val="center"/>
          </w:tcPr>
          <w:p w14:paraId="2D0749A1" w14:textId="77777777" w:rsidR="00985B98" w:rsidRDefault="00000000">
            <w:pPr>
              <w:keepNext/>
              <w:keepLines/>
              <w:spacing w:after="0" w:line="240" w:lineRule="auto"/>
            </w:pPr>
            <w:r>
              <w:rPr>
                <w:sz w:val="18"/>
              </w:rPr>
              <w:t>663</w:t>
            </w:r>
          </w:p>
        </w:tc>
        <w:tc>
          <w:tcPr>
            <w:tcW w:w="3180" w:type="dxa"/>
            <w:tcMar>
              <w:top w:w="0" w:type="dxa"/>
              <w:bottom w:w="0" w:type="dxa"/>
            </w:tcMar>
            <w:vAlign w:val="center"/>
          </w:tcPr>
          <w:p w14:paraId="0BA081CE" w14:textId="77777777" w:rsidR="00985B98"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27A066EC" w14:textId="77777777" w:rsidR="00985B98" w:rsidRDefault="00000000">
            <w:pPr>
              <w:keepNext/>
              <w:keepLines/>
              <w:spacing w:after="0" w:line="240" w:lineRule="auto"/>
            </w:pPr>
            <w:r>
              <w:rPr>
                <w:sz w:val="18"/>
              </w:rPr>
              <w:t>663</w:t>
            </w:r>
          </w:p>
        </w:tc>
        <w:tc>
          <w:tcPr>
            <w:tcW w:w="1860" w:type="dxa"/>
            <w:tcMar>
              <w:top w:w="0" w:type="dxa"/>
              <w:bottom w:w="0" w:type="dxa"/>
            </w:tcMar>
            <w:vAlign w:val="center"/>
          </w:tcPr>
          <w:p w14:paraId="4F993038" w14:textId="77777777" w:rsidR="00985B98" w:rsidRDefault="00000000">
            <w:pPr>
              <w:keepNext/>
              <w:keepLines/>
              <w:spacing w:after="0" w:line="240" w:lineRule="auto"/>
              <w:jc w:val="right"/>
            </w:pPr>
            <w:r>
              <w:rPr>
                <w:sz w:val="18"/>
              </w:rPr>
              <w:t>2.947,25</w:t>
            </w:r>
          </w:p>
        </w:tc>
        <w:tc>
          <w:tcPr>
            <w:tcW w:w="1860" w:type="dxa"/>
            <w:tcMar>
              <w:top w:w="0" w:type="dxa"/>
              <w:bottom w:w="0" w:type="dxa"/>
            </w:tcMar>
            <w:vAlign w:val="center"/>
          </w:tcPr>
          <w:p w14:paraId="42DBAEEF" w14:textId="77777777" w:rsidR="00985B98" w:rsidRDefault="00000000">
            <w:pPr>
              <w:keepNext/>
              <w:keepLines/>
              <w:spacing w:after="0" w:line="240" w:lineRule="auto"/>
              <w:jc w:val="right"/>
            </w:pPr>
            <w:r>
              <w:rPr>
                <w:sz w:val="18"/>
              </w:rPr>
              <w:t>3.959,00</w:t>
            </w:r>
          </w:p>
        </w:tc>
        <w:tc>
          <w:tcPr>
            <w:tcW w:w="700" w:type="dxa"/>
            <w:tcMar>
              <w:top w:w="0" w:type="dxa"/>
              <w:bottom w:w="0" w:type="dxa"/>
            </w:tcMar>
            <w:vAlign w:val="center"/>
          </w:tcPr>
          <w:p w14:paraId="00D2D175" w14:textId="77777777" w:rsidR="00985B98" w:rsidRDefault="00000000">
            <w:pPr>
              <w:keepNext/>
              <w:keepLines/>
              <w:spacing w:after="0" w:line="240" w:lineRule="auto"/>
              <w:jc w:val="right"/>
            </w:pPr>
            <w:r>
              <w:rPr>
                <w:sz w:val="18"/>
              </w:rPr>
              <w:t>134,3</w:t>
            </w:r>
          </w:p>
        </w:tc>
      </w:tr>
    </w:tbl>
    <w:p w14:paraId="2A447C8C" w14:textId="77777777" w:rsidR="00985B98" w:rsidRDefault="00985B98">
      <w:pPr>
        <w:spacing w:after="0"/>
      </w:pPr>
    </w:p>
    <w:p w14:paraId="206AE143" w14:textId="255392AD" w:rsidR="00985B98" w:rsidRDefault="00000000">
      <w:r>
        <w:t>Donacije su u porastu 34,3% u odnosu na prethodnu godinu zbog donacije informatičke opreme za Osnovnu školu Dvor od strane JANAF d.d. i Srpskog Narodnog Vijeća.</w:t>
      </w:r>
    </w:p>
    <w:p w14:paraId="3F5093BB" w14:textId="77777777" w:rsidR="00985B98" w:rsidRDefault="00985B98"/>
    <w:p w14:paraId="11403A9A" w14:textId="77777777" w:rsidR="00985B9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73397B24" w14:textId="77777777">
        <w:trPr>
          <w:cantSplit/>
        </w:trPr>
        <w:tc>
          <w:tcPr>
            <w:tcW w:w="700" w:type="dxa"/>
            <w:shd w:val="clear" w:color="auto" w:fill="E7F0F9"/>
            <w:tcMar>
              <w:top w:w="0" w:type="dxa"/>
              <w:bottom w:w="0" w:type="dxa"/>
            </w:tcMar>
            <w:vAlign w:val="center"/>
          </w:tcPr>
          <w:p w14:paraId="6814D0A7"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95850B"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1D9976"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9532FC"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D1E128"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B7C627" w14:textId="77777777" w:rsidR="00985B98" w:rsidRDefault="00000000">
            <w:pPr>
              <w:keepNext/>
              <w:keepLines/>
              <w:spacing w:after="0" w:line="240" w:lineRule="auto"/>
              <w:jc w:val="center"/>
            </w:pPr>
            <w:r>
              <w:rPr>
                <w:b/>
                <w:sz w:val="18"/>
              </w:rPr>
              <w:t>Indeks (%)</w:t>
            </w:r>
          </w:p>
        </w:tc>
      </w:tr>
      <w:tr w:rsidR="00985B98" w14:paraId="3E57F296" w14:textId="77777777">
        <w:trPr>
          <w:cantSplit/>
          <w:trHeight w:val="560"/>
        </w:trPr>
        <w:tc>
          <w:tcPr>
            <w:tcW w:w="700" w:type="dxa"/>
            <w:tcMar>
              <w:top w:w="0" w:type="dxa"/>
              <w:bottom w:w="0" w:type="dxa"/>
            </w:tcMar>
            <w:vAlign w:val="center"/>
          </w:tcPr>
          <w:p w14:paraId="7F35FE06" w14:textId="77777777" w:rsidR="00985B98" w:rsidRDefault="00000000">
            <w:pPr>
              <w:keepNext/>
              <w:keepLines/>
              <w:spacing w:after="0" w:line="240" w:lineRule="auto"/>
            </w:pPr>
            <w:r>
              <w:rPr>
                <w:sz w:val="18"/>
              </w:rPr>
              <w:t>671</w:t>
            </w:r>
          </w:p>
        </w:tc>
        <w:tc>
          <w:tcPr>
            <w:tcW w:w="3180" w:type="dxa"/>
            <w:tcMar>
              <w:top w:w="0" w:type="dxa"/>
              <w:bottom w:w="0" w:type="dxa"/>
            </w:tcMar>
            <w:vAlign w:val="center"/>
          </w:tcPr>
          <w:p w14:paraId="555F2663" w14:textId="77777777" w:rsidR="00985B98"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3E5087B2" w14:textId="77777777" w:rsidR="00985B98" w:rsidRDefault="00000000">
            <w:pPr>
              <w:keepNext/>
              <w:keepLines/>
              <w:spacing w:after="0" w:line="240" w:lineRule="auto"/>
            </w:pPr>
            <w:r>
              <w:rPr>
                <w:sz w:val="18"/>
              </w:rPr>
              <w:t>671</w:t>
            </w:r>
          </w:p>
        </w:tc>
        <w:tc>
          <w:tcPr>
            <w:tcW w:w="1860" w:type="dxa"/>
            <w:tcMar>
              <w:top w:w="0" w:type="dxa"/>
              <w:bottom w:w="0" w:type="dxa"/>
            </w:tcMar>
            <w:vAlign w:val="center"/>
          </w:tcPr>
          <w:p w14:paraId="32728870" w14:textId="77777777" w:rsidR="00985B98" w:rsidRDefault="00000000">
            <w:pPr>
              <w:keepNext/>
              <w:keepLines/>
              <w:spacing w:after="0" w:line="240" w:lineRule="auto"/>
              <w:jc w:val="right"/>
            </w:pPr>
            <w:r>
              <w:rPr>
                <w:sz w:val="18"/>
              </w:rPr>
              <w:t>69.855,00</w:t>
            </w:r>
          </w:p>
        </w:tc>
        <w:tc>
          <w:tcPr>
            <w:tcW w:w="1860" w:type="dxa"/>
            <w:tcMar>
              <w:top w:w="0" w:type="dxa"/>
              <w:bottom w:w="0" w:type="dxa"/>
            </w:tcMar>
            <w:vAlign w:val="center"/>
          </w:tcPr>
          <w:p w14:paraId="6EE9032E" w14:textId="77777777" w:rsidR="00985B98" w:rsidRDefault="00000000">
            <w:pPr>
              <w:keepNext/>
              <w:keepLines/>
              <w:spacing w:after="0" w:line="240" w:lineRule="auto"/>
              <w:jc w:val="right"/>
            </w:pPr>
            <w:r>
              <w:rPr>
                <w:sz w:val="18"/>
              </w:rPr>
              <w:t>99.553,61</w:t>
            </w:r>
          </w:p>
        </w:tc>
        <w:tc>
          <w:tcPr>
            <w:tcW w:w="700" w:type="dxa"/>
            <w:tcMar>
              <w:top w:w="0" w:type="dxa"/>
              <w:bottom w:w="0" w:type="dxa"/>
            </w:tcMar>
            <w:vAlign w:val="center"/>
          </w:tcPr>
          <w:p w14:paraId="7C2BFB63" w14:textId="77777777" w:rsidR="00985B98" w:rsidRDefault="00000000">
            <w:pPr>
              <w:keepNext/>
              <w:keepLines/>
              <w:spacing w:after="0" w:line="240" w:lineRule="auto"/>
              <w:jc w:val="right"/>
            </w:pPr>
            <w:r>
              <w:rPr>
                <w:sz w:val="18"/>
              </w:rPr>
              <w:t>142,5</w:t>
            </w:r>
          </w:p>
        </w:tc>
      </w:tr>
    </w:tbl>
    <w:p w14:paraId="4F023471" w14:textId="77777777" w:rsidR="00985B98" w:rsidRDefault="00985B98">
      <w:pPr>
        <w:spacing w:after="0"/>
      </w:pPr>
    </w:p>
    <w:p w14:paraId="22A2A5A0" w14:textId="122EB9D6" w:rsidR="00985B98" w:rsidRDefault="00000000" w:rsidP="00E82141">
      <w:pPr>
        <w:jc w:val="both"/>
      </w:pPr>
      <w:r>
        <w:t>Prihod od nadležnog proračuna je veći za 42,5% u odnosu na 2024. godinu, zbog prihoda za nabavu nefinancijske imovine (štednjak i perilica posuđa za školsku kuhinju), implementacije novog računovodstvenog programa u sklopu riznice, povećanja mjesečnih troškova režija i održavanja programa te zbog financiranja dodatnih troškova koji su nastali prilikom energetske obnove škole (novelacija projekta i rušenje stabala u dvorištu škole). Također se povećao broj zaposlenih pomoćnika u nastavi, a koji se financiraju iz proračuna osnivača.</w:t>
      </w:r>
    </w:p>
    <w:p w14:paraId="54B8A50B" w14:textId="77777777" w:rsidR="00985B98" w:rsidRDefault="00985B98" w:rsidP="00E82141">
      <w:pPr>
        <w:jc w:val="both"/>
      </w:pPr>
    </w:p>
    <w:p w14:paraId="4AA0807F" w14:textId="77777777" w:rsidR="00985B9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74B7A5E3" w14:textId="77777777">
        <w:trPr>
          <w:cantSplit/>
        </w:trPr>
        <w:tc>
          <w:tcPr>
            <w:tcW w:w="700" w:type="dxa"/>
            <w:shd w:val="clear" w:color="auto" w:fill="E7F0F9"/>
            <w:tcMar>
              <w:top w:w="0" w:type="dxa"/>
              <w:bottom w:w="0" w:type="dxa"/>
            </w:tcMar>
            <w:vAlign w:val="center"/>
          </w:tcPr>
          <w:p w14:paraId="0A6E5863"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41960C"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261A28"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65B88"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B23291"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4ACD6C" w14:textId="77777777" w:rsidR="00985B98" w:rsidRDefault="00000000">
            <w:pPr>
              <w:keepNext/>
              <w:keepLines/>
              <w:spacing w:after="0" w:line="240" w:lineRule="auto"/>
              <w:jc w:val="center"/>
            </w:pPr>
            <w:r>
              <w:rPr>
                <w:b/>
                <w:sz w:val="18"/>
              </w:rPr>
              <w:t>Indeks (%)</w:t>
            </w:r>
          </w:p>
        </w:tc>
      </w:tr>
      <w:tr w:rsidR="00985B98" w14:paraId="0D619A46" w14:textId="77777777">
        <w:trPr>
          <w:cantSplit/>
          <w:trHeight w:val="560"/>
        </w:trPr>
        <w:tc>
          <w:tcPr>
            <w:tcW w:w="700" w:type="dxa"/>
            <w:tcMar>
              <w:top w:w="0" w:type="dxa"/>
              <w:bottom w:w="0" w:type="dxa"/>
            </w:tcMar>
            <w:vAlign w:val="center"/>
          </w:tcPr>
          <w:p w14:paraId="4463E6D5" w14:textId="77777777" w:rsidR="00985B98" w:rsidRDefault="00000000">
            <w:pPr>
              <w:keepNext/>
              <w:keepLines/>
              <w:spacing w:after="0" w:line="240" w:lineRule="auto"/>
            </w:pPr>
            <w:r>
              <w:rPr>
                <w:sz w:val="18"/>
              </w:rPr>
              <w:t>3</w:t>
            </w:r>
          </w:p>
        </w:tc>
        <w:tc>
          <w:tcPr>
            <w:tcW w:w="3180" w:type="dxa"/>
            <w:tcMar>
              <w:top w:w="0" w:type="dxa"/>
              <w:bottom w:w="0" w:type="dxa"/>
            </w:tcMar>
            <w:vAlign w:val="center"/>
          </w:tcPr>
          <w:p w14:paraId="479B4C79" w14:textId="77777777" w:rsidR="00985B9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BD1A8A8" w14:textId="77777777" w:rsidR="00985B98" w:rsidRDefault="00000000">
            <w:pPr>
              <w:keepNext/>
              <w:keepLines/>
              <w:spacing w:after="0" w:line="240" w:lineRule="auto"/>
            </w:pPr>
            <w:r>
              <w:rPr>
                <w:sz w:val="18"/>
              </w:rPr>
              <w:t>3</w:t>
            </w:r>
          </w:p>
        </w:tc>
        <w:tc>
          <w:tcPr>
            <w:tcW w:w="1860" w:type="dxa"/>
            <w:tcMar>
              <w:top w:w="0" w:type="dxa"/>
              <w:bottom w:w="0" w:type="dxa"/>
            </w:tcMar>
            <w:vAlign w:val="center"/>
          </w:tcPr>
          <w:p w14:paraId="254001AF" w14:textId="77777777" w:rsidR="00985B98" w:rsidRDefault="00000000">
            <w:pPr>
              <w:keepNext/>
              <w:keepLines/>
              <w:spacing w:after="0" w:line="240" w:lineRule="auto"/>
              <w:jc w:val="right"/>
            </w:pPr>
            <w:r>
              <w:rPr>
                <w:sz w:val="18"/>
              </w:rPr>
              <w:t>1.006.719,28</w:t>
            </w:r>
          </w:p>
        </w:tc>
        <w:tc>
          <w:tcPr>
            <w:tcW w:w="1860" w:type="dxa"/>
            <w:tcMar>
              <w:top w:w="0" w:type="dxa"/>
              <w:bottom w:w="0" w:type="dxa"/>
            </w:tcMar>
            <w:vAlign w:val="center"/>
          </w:tcPr>
          <w:p w14:paraId="238D6972" w14:textId="77777777" w:rsidR="00985B98" w:rsidRDefault="00000000">
            <w:pPr>
              <w:keepNext/>
              <w:keepLines/>
              <w:spacing w:after="0" w:line="240" w:lineRule="auto"/>
              <w:jc w:val="right"/>
            </w:pPr>
            <w:r>
              <w:rPr>
                <w:sz w:val="18"/>
              </w:rPr>
              <w:t>1.159.817,23</w:t>
            </w:r>
          </w:p>
        </w:tc>
        <w:tc>
          <w:tcPr>
            <w:tcW w:w="700" w:type="dxa"/>
            <w:tcMar>
              <w:top w:w="0" w:type="dxa"/>
              <w:bottom w:w="0" w:type="dxa"/>
            </w:tcMar>
            <w:vAlign w:val="center"/>
          </w:tcPr>
          <w:p w14:paraId="03131036" w14:textId="77777777" w:rsidR="00985B98" w:rsidRDefault="00000000">
            <w:pPr>
              <w:keepNext/>
              <w:keepLines/>
              <w:spacing w:after="0" w:line="240" w:lineRule="auto"/>
              <w:jc w:val="right"/>
            </w:pPr>
            <w:r>
              <w:rPr>
                <w:sz w:val="18"/>
              </w:rPr>
              <w:t>115,2</w:t>
            </w:r>
          </w:p>
        </w:tc>
      </w:tr>
    </w:tbl>
    <w:p w14:paraId="74681AD0" w14:textId="77777777" w:rsidR="00985B98" w:rsidRDefault="00985B98">
      <w:pPr>
        <w:spacing w:after="0"/>
      </w:pPr>
    </w:p>
    <w:p w14:paraId="58D994EC" w14:textId="6E142E68" w:rsidR="00985B98" w:rsidRDefault="00000000">
      <w:r>
        <w:t>Rashodi poslovanja od 1. siječnja do 31. prosinca 2025. godine iznose 1.159.817,23€ i veći su za 5,2% u odnosu na isti izvještajni period prethodne godine.</w:t>
      </w:r>
    </w:p>
    <w:p w14:paraId="2E330936" w14:textId="77777777" w:rsidR="00985B98" w:rsidRDefault="00985B98"/>
    <w:p w14:paraId="76F53089" w14:textId="77777777" w:rsidR="00985B98"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5DEBA60F" w14:textId="77777777">
        <w:trPr>
          <w:cantSplit/>
        </w:trPr>
        <w:tc>
          <w:tcPr>
            <w:tcW w:w="700" w:type="dxa"/>
            <w:shd w:val="clear" w:color="auto" w:fill="E7F0F9"/>
            <w:tcMar>
              <w:top w:w="0" w:type="dxa"/>
              <w:bottom w:w="0" w:type="dxa"/>
            </w:tcMar>
            <w:vAlign w:val="center"/>
          </w:tcPr>
          <w:p w14:paraId="3753E265"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210274"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67D3BE"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32CAF5"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A0F5E9"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06F4D7" w14:textId="77777777" w:rsidR="00985B98" w:rsidRDefault="00000000">
            <w:pPr>
              <w:keepNext/>
              <w:keepLines/>
              <w:spacing w:after="0" w:line="240" w:lineRule="auto"/>
              <w:jc w:val="center"/>
            </w:pPr>
            <w:r>
              <w:rPr>
                <w:b/>
                <w:sz w:val="18"/>
              </w:rPr>
              <w:t>Indeks (%)</w:t>
            </w:r>
          </w:p>
        </w:tc>
      </w:tr>
      <w:tr w:rsidR="00985B98" w14:paraId="5D70948F" w14:textId="77777777">
        <w:trPr>
          <w:cantSplit/>
          <w:trHeight w:val="560"/>
        </w:trPr>
        <w:tc>
          <w:tcPr>
            <w:tcW w:w="700" w:type="dxa"/>
            <w:tcMar>
              <w:top w:w="0" w:type="dxa"/>
              <w:bottom w:w="0" w:type="dxa"/>
            </w:tcMar>
            <w:vAlign w:val="center"/>
          </w:tcPr>
          <w:p w14:paraId="344E7201" w14:textId="77777777" w:rsidR="00985B98" w:rsidRDefault="00000000">
            <w:pPr>
              <w:keepNext/>
              <w:keepLines/>
              <w:spacing w:after="0" w:line="240" w:lineRule="auto"/>
            </w:pPr>
            <w:r>
              <w:rPr>
                <w:sz w:val="18"/>
              </w:rPr>
              <w:t>31</w:t>
            </w:r>
          </w:p>
        </w:tc>
        <w:tc>
          <w:tcPr>
            <w:tcW w:w="3180" w:type="dxa"/>
            <w:tcMar>
              <w:top w:w="0" w:type="dxa"/>
              <w:bottom w:w="0" w:type="dxa"/>
            </w:tcMar>
            <w:vAlign w:val="center"/>
          </w:tcPr>
          <w:p w14:paraId="40786110" w14:textId="77777777" w:rsidR="00985B98"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5306E57" w14:textId="77777777" w:rsidR="00985B98" w:rsidRDefault="00000000">
            <w:pPr>
              <w:keepNext/>
              <w:keepLines/>
              <w:spacing w:after="0" w:line="240" w:lineRule="auto"/>
            </w:pPr>
            <w:r>
              <w:rPr>
                <w:sz w:val="18"/>
              </w:rPr>
              <w:t>31</w:t>
            </w:r>
          </w:p>
        </w:tc>
        <w:tc>
          <w:tcPr>
            <w:tcW w:w="1860" w:type="dxa"/>
            <w:tcMar>
              <w:top w:w="0" w:type="dxa"/>
              <w:bottom w:w="0" w:type="dxa"/>
            </w:tcMar>
            <w:vAlign w:val="center"/>
          </w:tcPr>
          <w:p w14:paraId="0E05DD0B" w14:textId="77777777" w:rsidR="00985B98" w:rsidRDefault="00000000">
            <w:pPr>
              <w:keepNext/>
              <w:keepLines/>
              <w:spacing w:after="0" w:line="240" w:lineRule="auto"/>
              <w:jc w:val="right"/>
            </w:pPr>
            <w:r>
              <w:rPr>
                <w:sz w:val="18"/>
              </w:rPr>
              <w:t>836.749,50</w:t>
            </w:r>
          </w:p>
        </w:tc>
        <w:tc>
          <w:tcPr>
            <w:tcW w:w="1860" w:type="dxa"/>
            <w:tcMar>
              <w:top w:w="0" w:type="dxa"/>
              <w:bottom w:w="0" w:type="dxa"/>
            </w:tcMar>
            <w:vAlign w:val="center"/>
          </w:tcPr>
          <w:p w14:paraId="11FDB5E2" w14:textId="77777777" w:rsidR="00985B98" w:rsidRDefault="00000000">
            <w:pPr>
              <w:keepNext/>
              <w:keepLines/>
              <w:spacing w:after="0" w:line="240" w:lineRule="auto"/>
              <w:jc w:val="right"/>
            </w:pPr>
            <w:r>
              <w:rPr>
                <w:sz w:val="18"/>
              </w:rPr>
              <w:t>973.519,70</w:t>
            </w:r>
          </w:p>
        </w:tc>
        <w:tc>
          <w:tcPr>
            <w:tcW w:w="700" w:type="dxa"/>
            <w:tcMar>
              <w:top w:w="0" w:type="dxa"/>
              <w:bottom w:w="0" w:type="dxa"/>
            </w:tcMar>
            <w:vAlign w:val="center"/>
          </w:tcPr>
          <w:p w14:paraId="4D374C22" w14:textId="77777777" w:rsidR="00985B98" w:rsidRDefault="00000000">
            <w:pPr>
              <w:keepNext/>
              <w:keepLines/>
              <w:spacing w:after="0" w:line="240" w:lineRule="auto"/>
              <w:jc w:val="right"/>
            </w:pPr>
            <w:r>
              <w:rPr>
                <w:sz w:val="18"/>
              </w:rPr>
              <w:t>116,3</w:t>
            </w:r>
          </w:p>
        </w:tc>
      </w:tr>
    </w:tbl>
    <w:p w14:paraId="4300147B" w14:textId="77777777" w:rsidR="00985B98" w:rsidRDefault="00985B98">
      <w:pPr>
        <w:spacing w:after="0"/>
      </w:pPr>
    </w:p>
    <w:p w14:paraId="751E870D" w14:textId="77777777" w:rsidR="00985B98" w:rsidRDefault="00000000">
      <w:r>
        <w:t>Rashodi za zaposlene su najveća stavka rashoda te su povećani za 6,3% u odnosu na prethodnu 2024. godinu.</w:t>
      </w:r>
    </w:p>
    <w:p w14:paraId="2F2FEBCB" w14:textId="77777777" w:rsidR="00985B98" w:rsidRDefault="00985B98"/>
    <w:p w14:paraId="5C759E24" w14:textId="77777777" w:rsidR="00985B9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5DB580CD" w14:textId="77777777">
        <w:trPr>
          <w:cantSplit/>
        </w:trPr>
        <w:tc>
          <w:tcPr>
            <w:tcW w:w="700" w:type="dxa"/>
            <w:shd w:val="clear" w:color="auto" w:fill="E7F0F9"/>
            <w:tcMar>
              <w:top w:w="0" w:type="dxa"/>
              <w:bottom w:w="0" w:type="dxa"/>
            </w:tcMar>
            <w:vAlign w:val="center"/>
          </w:tcPr>
          <w:p w14:paraId="2740AB4A"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F7F20C"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0DB118"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4FAD94"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C2C1A8"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8C4164" w14:textId="77777777" w:rsidR="00985B98" w:rsidRDefault="00000000">
            <w:pPr>
              <w:keepNext/>
              <w:keepLines/>
              <w:spacing w:after="0" w:line="240" w:lineRule="auto"/>
              <w:jc w:val="center"/>
            </w:pPr>
            <w:r>
              <w:rPr>
                <w:b/>
                <w:sz w:val="18"/>
              </w:rPr>
              <w:t>Indeks (%)</w:t>
            </w:r>
          </w:p>
        </w:tc>
      </w:tr>
      <w:tr w:rsidR="00985B98" w14:paraId="5E01D4F0" w14:textId="77777777">
        <w:trPr>
          <w:cantSplit/>
          <w:trHeight w:val="560"/>
        </w:trPr>
        <w:tc>
          <w:tcPr>
            <w:tcW w:w="700" w:type="dxa"/>
            <w:tcMar>
              <w:top w:w="0" w:type="dxa"/>
              <w:bottom w:w="0" w:type="dxa"/>
            </w:tcMar>
            <w:vAlign w:val="center"/>
          </w:tcPr>
          <w:p w14:paraId="171B32C2" w14:textId="77777777" w:rsidR="00985B98" w:rsidRDefault="00000000">
            <w:pPr>
              <w:keepNext/>
              <w:keepLines/>
              <w:spacing w:after="0" w:line="240" w:lineRule="auto"/>
            </w:pPr>
            <w:r>
              <w:rPr>
                <w:sz w:val="18"/>
              </w:rPr>
              <w:t>312</w:t>
            </w:r>
          </w:p>
        </w:tc>
        <w:tc>
          <w:tcPr>
            <w:tcW w:w="3180" w:type="dxa"/>
            <w:tcMar>
              <w:top w:w="0" w:type="dxa"/>
              <w:bottom w:w="0" w:type="dxa"/>
            </w:tcMar>
            <w:vAlign w:val="center"/>
          </w:tcPr>
          <w:p w14:paraId="097700BD" w14:textId="77777777" w:rsidR="00985B98"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35641858" w14:textId="77777777" w:rsidR="00985B98" w:rsidRDefault="00000000">
            <w:pPr>
              <w:keepNext/>
              <w:keepLines/>
              <w:spacing w:after="0" w:line="240" w:lineRule="auto"/>
            </w:pPr>
            <w:r>
              <w:rPr>
                <w:sz w:val="18"/>
              </w:rPr>
              <w:t>312</w:t>
            </w:r>
          </w:p>
        </w:tc>
        <w:tc>
          <w:tcPr>
            <w:tcW w:w="1860" w:type="dxa"/>
            <w:tcMar>
              <w:top w:w="0" w:type="dxa"/>
              <w:bottom w:w="0" w:type="dxa"/>
            </w:tcMar>
            <w:vAlign w:val="center"/>
          </w:tcPr>
          <w:p w14:paraId="5C06BEF6" w14:textId="77777777" w:rsidR="00985B98" w:rsidRDefault="00000000">
            <w:pPr>
              <w:keepNext/>
              <w:keepLines/>
              <w:spacing w:after="0" w:line="240" w:lineRule="auto"/>
              <w:jc w:val="right"/>
            </w:pPr>
            <w:r>
              <w:rPr>
                <w:sz w:val="18"/>
              </w:rPr>
              <w:t>30.425,36</w:t>
            </w:r>
          </w:p>
        </w:tc>
        <w:tc>
          <w:tcPr>
            <w:tcW w:w="1860" w:type="dxa"/>
            <w:tcMar>
              <w:top w:w="0" w:type="dxa"/>
              <w:bottom w:w="0" w:type="dxa"/>
            </w:tcMar>
            <w:vAlign w:val="center"/>
          </w:tcPr>
          <w:p w14:paraId="09D8B8CA" w14:textId="77777777" w:rsidR="00985B98" w:rsidRDefault="00000000">
            <w:pPr>
              <w:keepNext/>
              <w:keepLines/>
              <w:spacing w:after="0" w:line="240" w:lineRule="auto"/>
              <w:jc w:val="right"/>
            </w:pPr>
            <w:r>
              <w:rPr>
                <w:sz w:val="18"/>
              </w:rPr>
              <w:t>41.574,84</w:t>
            </w:r>
          </w:p>
        </w:tc>
        <w:tc>
          <w:tcPr>
            <w:tcW w:w="700" w:type="dxa"/>
            <w:tcMar>
              <w:top w:w="0" w:type="dxa"/>
              <w:bottom w:w="0" w:type="dxa"/>
            </w:tcMar>
            <w:vAlign w:val="center"/>
          </w:tcPr>
          <w:p w14:paraId="5A35D38E" w14:textId="77777777" w:rsidR="00985B98" w:rsidRDefault="00000000">
            <w:pPr>
              <w:keepNext/>
              <w:keepLines/>
              <w:spacing w:after="0" w:line="240" w:lineRule="auto"/>
              <w:jc w:val="right"/>
            </w:pPr>
            <w:r>
              <w:rPr>
                <w:sz w:val="18"/>
              </w:rPr>
              <w:t>136,6</w:t>
            </w:r>
          </w:p>
        </w:tc>
      </w:tr>
    </w:tbl>
    <w:p w14:paraId="0752D9AD" w14:textId="77777777" w:rsidR="00985B98" w:rsidRDefault="00985B98">
      <w:pPr>
        <w:spacing w:after="0"/>
      </w:pPr>
    </w:p>
    <w:p w14:paraId="10757733" w14:textId="77777777" w:rsidR="00985B98" w:rsidRDefault="00000000" w:rsidP="00E82141">
      <w:pPr>
        <w:jc w:val="both"/>
      </w:pPr>
      <w:r>
        <w:t>Ostali rashodi za zaposlene su veći za 36,6 % u odnosu na izvještajno razbolje u 2024. godini zbog više ostvarenja prava na isplatu materijalnih prava zaposlenika, uključujući dvije otpremnine zbog odlaska u mirovinu.</w:t>
      </w:r>
    </w:p>
    <w:p w14:paraId="056A9F98" w14:textId="77777777" w:rsidR="00985B98" w:rsidRDefault="00985B98"/>
    <w:p w14:paraId="6679494E" w14:textId="77777777" w:rsidR="00985B9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7969DE16" w14:textId="77777777">
        <w:trPr>
          <w:cantSplit/>
        </w:trPr>
        <w:tc>
          <w:tcPr>
            <w:tcW w:w="700" w:type="dxa"/>
            <w:shd w:val="clear" w:color="auto" w:fill="E7F0F9"/>
            <w:tcMar>
              <w:top w:w="0" w:type="dxa"/>
              <w:bottom w:w="0" w:type="dxa"/>
            </w:tcMar>
            <w:vAlign w:val="center"/>
          </w:tcPr>
          <w:p w14:paraId="55FE334A"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0284B0"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A90F81"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4B136"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CF4D4B"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D50692" w14:textId="77777777" w:rsidR="00985B98" w:rsidRDefault="00000000">
            <w:pPr>
              <w:keepNext/>
              <w:keepLines/>
              <w:spacing w:after="0" w:line="240" w:lineRule="auto"/>
              <w:jc w:val="center"/>
            </w:pPr>
            <w:r>
              <w:rPr>
                <w:b/>
                <w:sz w:val="18"/>
              </w:rPr>
              <w:t>Indeks (%)</w:t>
            </w:r>
          </w:p>
        </w:tc>
      </w:tr>
      <w:tr w:rsidR="00985B98" w14:paraId="59E61F52" w14:textId="77777777">
        <w:trPr>
          <w:cantSplit/>
          <w:trHeight w:val="560"/>
        </w:trPr>
        <w:tc>
          <w:tcPr>
            <w:tcW w:w="700" w:type="dxa"/>
            <w:tcMar>
              <w:top w:w="0" w:type="dxa"/>
              <w:bottom w:w="0" w:type="dxa"/>
            </w:tcMar>
            <w:vAlign w:val="center"/>
          </w:tcPr>
          <w:p w14:paraId="6D79E408" w14:textId="77777777" w:rsidR="00985B98" w:rsidRDefault="00000000">
            <w:pPr>
              <w:keepNext/>
              <w:keepLines/>
              <w:spacing w:after="0" w:line="240" w:lineRule="auto"/>
            </w:pPr>
            <w:r>
              <w:rPr>
                <w:sz w:val="18"/>
              </w:rPr>
              <w:t>3232</w:t>
            </w:r>
          </w:p>
        </w:tc>
        <w:tc>
          <w:tcPr>
            <w:tcW w:w="3180" w:type="dxa"/>
            <w:tcMar>
              <w:top w:w="0" w:type="dxa"/>
              <w:bottom w:w="0" w:type="dxa"/>
            </w:tcMar>
            <w:vAlign w:val="center"/>
          </w:tcPr>
          <w:p w14:paraId="782DF26D" w14:textId="77777777" w:rsidR="00985B98"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15BA329E" w14:textId="77777777" w:rsidR="00985B98" w:rsidRDefault="00000000">
            <w:pPr>
              <w:keepNext/>
              <w:keepLines/>
              <w:spacing w:after="0" w:line="240" w:lineRule="auto"/>
            </w:pPr>
            <w:r>
              <w:rPr>
                <w:sz w:val="18"/>
              </w:rPr>
              <w:t>3232</w:t>
            </w:r>
          </w:p>
        </w:tc>
        <w:tc>
          <w:tcPr>
            <w:tcW w:w="1860" w:type="dxa"/>
            <w:tcMar>
              <w:top w:w="0" w:type="dxa"/>
              <w:bottom w:w="0" w:type="dxa"/>
            </w:tcMar>
            <w:vAlign w:val="center"/>
          </w:tcPr>
          <w:p w14:paraId="233483FC" w14:textId="77777777" w:rsidR="00985B98" w:rsidRDefault="00000000">
            <w:pPr>
              <w:keepNext/>
              <w:keepLines/>
              <w:spacing w:after="0" w:line="240" w:lineRule="auto"/>
              <w:jc w:val="right"/>
            </w:pPr>
            <w:r>
              <w:rPr>
                <w:sz w:val="18"/>
              </w:rPr>
              <w:t>7.257,88</w:t>
            </w:r>
          </w:p>
        </w:tc>
        <w:tc>
          <w:tcPr>
            <w:tcW w:w="1860" w:type="dxa"/>
            <w:tcMar>
              <w:top w:w="0" w:type="dxa"/>
              <w:bottom w:w="0" w:type="dxa"/>
            </w:tcMar>
            <w:vAlign w:val="center"/>
          </w:tcPr>
          <w:p w14:paraId="30B810F2" w14:textId="77777777" w:rsidR="00985B98" w:rsidRDefault="00000000">
            <w:pPr>
              <w:keepNext/>
              <w:keepLines/>
              <w:spacing w:after="0" w:line="240" w:lineRule="auto"/>
              <w:jc w:val="right"/>
            </w:pPr>
            <w:r>
              <w:rPr>
                <w:sz w:val="18"/>
              </w:rPr>
              <w:t>14.883,21</w:t>
            </w:r>
          </w:p>
        </w:tc>
        <w:tc>
          <w:tcPr>
            <w:tcW w:w="700" w:type="dxa"/>
            <w:tcMar>
              <w:top w:w="0" w:type="dxa"/>
              <w:bottom w:w="0" w:type="dxa"/>
            </w:tcMar>
            <w:vAlign w:val="center"/>
          </w:tcPr>
          <w:p w14:paraId="206EE8CF" w14:textId="77777777" w:rsidR="00985B98" w:rsidRDefault="00000000">
            <w:pPr>
              <w:keepNext/>
              <w:keepLines/>
              <w:spacing w:after="0" w:line="240" w:lineRule="auto"/>
              <w:jc w:val="right"/>
            </w:pPr>
            <w:r>
              <w:rPr>
                <w:sz w:val="18"/>
              </w:rPr>
              <w:t>205,1</w:t>
            </w:r>
          </w:p>
        </w:tc>
      </w:tr>
    </w:tbl>
    <w:p w14:paraId="6C4C699F" w14:textId="77777777" w:rsidR="00985B98" w:rsidRDefault="00985B98">
      <w:pPr>
        <w:spacing w:after="0"/>
      </w:pPr>
    </w:p>
    <w:p w14:paraId="4A7CFAFD" w14:textId="0DA06CF7" w:rsidR="00985B98" w:rsidRDefault="00000000" w:rsidP="00E82141">
      <w:pPr>
        <w:jc w:val="both"/>
      </w:pPr>
      <w:r>
        <w:t>Najveći porast rashoda od 105,1% u odnosu na 2024. godinu imaju usluge tekućeg i investicijskog održavanja te iznose ukupno 14.883,21€.  Tolik</w:t>
      </w:r>
      <w:r w:rsidR="00904B67">
        <w:t>i</w:t>
      </w:r>
      <w:r>
        <w:t xml:space="preserve"> porast rashoda je zbog troškova novelacije projekta potrebnog za energetsku obnovu škole te zbog troškova rušenja stabala u dvorištu škole.</w:t>
      </w:r>
    </w:p>
    <w:p w14:paraId="37B58A10" w14:textId="77777777" w:rsidR="00985B98" w:rsidRDefault="00985B98"/>
    <w:p w14:paraId="4A7E4C99" w14:textId="77777777" w:rsidR="00985B9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24BBE9B7" w14:textId="77777777">
        <w:trPr>
          <w:cantSplit/>
        </w:trPr>
        <w:tc>
          <w:tcPr>
            <w:tcW w:w="700" w:type="dxa"/>
            <w:shd w:val="clear" w:color="auto" w:fill="E7F0F9"/>
            <w:tcMar>
              <w:top w:w="0" w:type="dxa"/>
              <w:bottom w:w="0" w:type="dxa"/>
            </w:tcMar>
            <w:vAlign w:val="center"/>
          </w:tcPr>
          <w:p w14:paraId="6A4D59AE"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7648B8"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D092E3"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9FD25A"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558FE6"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7E5627" w14:textId="77777777" w:rsidR="00985B98" w:rsidRDefault="00000000">
            <w:pPr>
              <w:keepNext/>
              <w:keepLines/>
              <w:spacing w:after="0" w:line="240" w:lineRule="auto"/>
              <w:jc w:val="center"/>
            </w:pPr>
            <w:r>
              <w:rPr>
                <w:b/>
                <w:sz w:val="18"/>
              </w:rPr>
              <w:t>Indeks (%)</w:t>
            </w:r>
          </w:p>
        </w:tc>
      </w:tr>
      <w:tr w:rsidR="00985B98" w14:paraId="0E46BE08" w14:textId="77777777">
        <w:trPr>
          <w:cantSplit/>
          <w:trHeight w:val="560"/>
        </w:trPr>
        <w:tc>
          <w:tcPr>
            <w:tcW w:w="700" w:type="dxa"/>
            <w:tcMar>
              <w:top w:w="0" w:type="dxa"/>
              <w:bottom w:w="0" w:type="dxa"/>
            </w:tcMar>
            <w:vAlign w:val="center"/>
          </w:tcPr>
          <w:p w14:paraId="5801D943" w14:textId="77777777" w:rsidR="00985B98" w:rsidRDefault="00000000">
            <w:pPr>
              <w:keepNext/>
              <w:keepLines/>
              <w:spacing w:after="0" w:line="240" w:lineRule="auto"/>
            </w:pPr>
            <w:r>
              <w:rPr>
                <w:sz w:val="18"/>
              </w:rPr>
              <w:t>3236</w:t>
            </w:r>
          </w:p>
        </w:tc>
        <w:tc>
          <w:tcPr>
            <w:tcW w:w="3180" w:type="dxa"/>
            <w:tcMar>
              <w:top w:w="0" w:type="dxa"/>
              <w:bottom w:w="0" w:type="dxa"/>
            </w:tcMar>
            <w:vAlign w:val="center"/>
          </w:tcPr>
          <w:p w14:paraId="59F8B9A1" w14:textId="77777777" w:rsidR="00985B98"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35F62A9C" w14:textId="77777777" w:rsidR="00985B98" w:rsidRDefault="00000000">
            <w:pPr>
              <w:keepNext/>
              <w:keepLines/>
              <w:spacing w:after="0" w:line="240" w:lineRule="auto"/>
            </w:pPr>
            <w:r>
              <w:rPr>
                <w:sz w:val="18"/>
              </w:rPr>
              <w:t>3236</w:t>
            </w:r>
          </w:p>
        </w:tc>
        <w:tc>
          <w:tcPr>
            <w:tcW w:w="1860" w:type="dxa"/>
            <w:tcMar>
              <w:top w:w="0" w:type="dxa"/>
              <w:bottom w:w="0" w:type="dxa"/>
            </w:tcMar>
            <w:vAlign w:val="center"/>
          </w:tcPr>
          <w:p w14:paraId="3FCD6356" w14:textId="77777777" w:rsidR="00985B98" w:rsidRDefault="00000000">
            <w:pPr>
              <w:keepNext/>
              <w:keepLines/>
              <w:spacing w:after="0" w:line="240" w:lineRule="auto"/>
              <w:jc w:val="right"/>
            </w:pPr>
            <w:r>
              <w:rPr>
                <w:sz w:val="18"/>
              </w:rPr>
              <w:t>1.803,80</w:t>
            </w:r>
          </w:p>
        </w:tc>
        <w:tc>
          <w:tcPr>
            <w:tcW w:w="1860" w:type="dxa"/>
            <w:tcMar>
              <w:top w:w="0" w:type="dxa"/>
              <w:bottom w:w="0" w:type="dxa"/>
            </w:tcMar>
            <w:vAlign w:val="center"/>
          </w:tcPr>
          <w:p w14:paraId="4568AAB7" w14:textId="77777777" w:rsidR="00985B98" w:rsidRDefault="00000000">
            <w:pPr>
              <w:keepNext/>
              <w:keepLines/>
              <w:spacing w:after="0" w:line="240" w:lineRule="auto"/>
              <w:jc w:val="right"/>
            </w:pPr>
            <w:r>
              <w:rPr>
                <w:sz w:val="18"/>
              </w:rPr>
              <w:t>2.178,80</w:t>
            </w:r>
          </w:p>
        </w:tc>
        <w:tc>
          <w:tcPr>
            <w:tcW w:w="700" w:type="dxa"/>
            <w:tcMar>
              <w:top w:w="0" w:type="dxa"/>
              <w:bottom w:w="0" w:type="dxa"/>
            </w:tcMar>
            <w:vAlign w:val="center"/>
          </w:tcPr>
          <w:p w14:paraId="5B6A0B77" w14:textId="77777777" w:rsidR="00985B98" w:rsidRDefault="00000000">
            <w:pPr>
              <w:keepNext/>
              <w:keepLines/>
              <w:spacing w:after="0" w:line="240" w:lineRule="auto"/>
              <w:jc w:val="right"/>
            </w:pPr>
            <w:r>
              <w:rPr>
                <w:sz w:val="18"/>
              </w:rPr>
              <w:t>120,8</w:t>
            </w:r>
          </w:p>
        </w:tc>
      </w:tr>
    </w:tbl>
    <w:p w14:paraId="4AF4FEAA" w14:textId="77777777" w:rsidR="00985B98" w:rsidRDefault="00985B98">
      <w:pPr>
        <w:spacing w:after="0"/>
      </w:pPr>
    </w:p>
    <w:p w14:paraId="33DA9DB8" w14:textId="5E810929" w:rsidR="00985B98" w:rsidRDefault="00000000">
      <w:r>
        <w:t>Ostvareni rashodi za zdravstvene i veterinarske usluge su veći za 20,80% u usporedbi s ostvarenim istim rashodima u izvještajnom razdoblju prethodne godine zbog povećanja cijena usluga sistematskih pregleda.</w:t>
      </w:r>
    </w:p>
    <w:p w14:paraId="64E16D24" w14:textId="77777777" w:rsidR="00985B98" w:rsidRDefault="00985B98"/>
    <w:p w14:paraId="3724DAFD" w14:textId="77777777" w:rsidR="00985B9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5C9A319B" w14:textId="77777777">
        <w:trPr>
          <w:cantSplit/>
        </w:trPr>
        <w:tc>
          <w:tcPr>
            <w:tcW w:w="700" w:type="dxa"/>
            <w:shd w:val="clear" w:color="auto" w:fill="E7F0F9"/>
            <w:tcMar>
              <w:top w:w="0" w:type="dxa"/>
              <w:bottom w:w="0" w:type="dxa"/>
            </w:tcMar>
            <w:vAlign w:val="center"/>
          </w:tcPr>
          <w:p w14:paraId="1BF1FEBE"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C688E7"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7EE381"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AA0B0"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2324B9"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44D488" w14:textId="77777777" w:rsidR="00985B98" w:rsidRDefault="00000000">
            <w:pPr>
              <w:keepNext/>
              <w:keepLines/>
              <w:spacing w:after="0" w:line="240" w:lineRule="auto"/>
              <w:jc w:val="center"/>
            </w:pPr>
            <w:r>
              <w:rPr>
                <w:b/>
                <w:sz w:val="18"/>
              </w:rPr>
              <w:t>Indeks (%)</w:t>
            </w:r>
          </w:p>
        </w:tc>
      </w:tr>
      <w:tr w:rsidR="00985B98" w14:paraId="6C0F95FA" w14:textId="77777777">
        <w:trPr>
          <w:cantSplit/>
          <w:trHeight w:val="560"/>
        </w:trPr>
        <w:tc>
          <w:tcPr>
            <w:tcW w:w="700" w:type="dxa"/>
            <w:tcMar>
              <w:top w:w="0" w:type="dxa"/>
              <w:bottom w:w="0" w:type="dxa"/>
            </w:tcMar>
            <w:vAlign w:val="center"/>
          </w:tcPr>
          <w:p w14:paraId="226DFD19" w14:textId="77777777" w:rsidR="00985B98" w:rsidRDefault="00000000">
            <w:pPr>
              <w:keepNext/>
              <w:keepLines/>
              <w:spacing w:after="0" w:line="240" w:lineRule="auto"/>
            </w:pPr>
            <w:r>
              <w:rPr>
                <w:sz w:val="18"/>
              </w:rPr>
              <w:t>3238</w:t>
            </w:r>
          </w:p>
        </w:tc>
        <w:tc>
          <w:tcPr>
            <w:tcW w:w="3180" w:type="dxa"/>
            <w:tcMar>
              <w:top w:w="0" w:type="dxa"/>
              <w:bottom w:w="0" w:type="dxa"/>
            </w:tcMar>
            <w:vAlign w:val="center"/>
          </w:tcPr>
          <w:p w14:paraId="7093703C" w14:textId="77777777" w:rsidR="00985B98" w:rsidRDefault="00000000">
            <w:pPr>
              <w:keepNext/>
              <w:keepLines/>
              <w:spacing w:after="0" w:line="240" w:lineRule="auto"/>
            </w:pPr>
            <w:r>
              <w:rPr>
                <w:sz w:val="18"/>
              </w:rPr>
              <w:t>Računalne usluge</w:t>
            </w:r>
          </w:p>
        </w:tc>
        <w:tc>
          <w:tcPr>
            <w:tcW w:w="700" w:type="dxa"/>
            <w:tcMar>
              <w:top w:w="0" w:type="dxa"/>
              <w:bottom w:w="0" w:type="dxa"/>
            </w:tcMar>
            <w:vAlign w:val="center"/>
          </w:tcPr>
          <w:p w14:paraId="6345AAED" w14:textId="77777777" w:rsidR="00985B98" w:rsidRDefault="00000000">
            <w:pPr>
              <w:keepNext/>
              <w:keepLines/>
              <w:spacing w:after="0" w:line="240" w:lineRule="auto"/>
            </w:pPr>
            <w:r>
              <w:rPr>
                <w:sz w:val="18"/>
              </w:rPr>
              <w:t>3238</w:t>
            </w:r>
          </w:p>
        </w:tc>
        <w:tc>
          <w:tcPr>
            <w:tcW w:w="1860" w:type="dxa"/>
            <w:tcMar>
              <w:top w:w="0" w:type="dxa"/>
              <w:bottom w:w="0" w:type="dxa"/>
            </w:tcMar>
            <w:vAlign w:val="center"/>
          </w:tcPr>
          <w:p w14:paraId="02BB2D21" w14:textId="77777777" w:rsidR="00985B98" w:rsidRDefault="00000000">
            <w:pPr>
              <w:keepNext/>
              <w:keepLines/>
              <w:spacing w:after="0" w:line="240" w:lineRule="auto"/>
              <w:jc w:val="right"/>
            </w:pPr>
            <w:r>
              <w:rPr>
                <w:sz w:val="18"/>
              </w:rPr>
              <w:t>5.918,86</w:t>
            </w:r>
          </w:p>
        </w:tc>
        <w:tc>
          <w:tcPr>
            <w:tcW w:w="1860" w:type="dxa"/>
            <w:tcMar>
              <w:top w:w="0" w:type="dxa"/>
              <w:bottom w:w="0" w:type="dxa"/>
            </w:tcMar>
            <w:vAlign w:val="center"/>
          </w:tcPr>
          <w:p w14:paraId="61BEF519" w14:textId="77777777" w:rsidR="00985B98" w:rsidRDefault="00000000">
            <w:pPr>
              <w:keepNext/>
              <w:keepLines/>
              <w:spacing w:after="0" w:line="240" w:lineRule="auto"/>
              <w:jc w:val="right"/>
            </w:pPr>
            <w:r>
              <w:rPr>
                <w:sz w:val="18"/>
              </w:rPr>
              <w:t>7.151,32</w:t>
            </w:r>
          </w:p>
        </w:tc>
        <w:tc>
          <w:tcPr>
            <w:tcW w:w="700" w:type="dxa"/>
            <w:tcMar>
              <w:top w:w="0" w:type="dxa"/>
              <w:bottom w:w="0" w:type="dxa"/>
            </w:tcMar>
            <w:vAlign w:val="center"/>
          </w:tcPr>
          <w:p w14:paraId="75CD9D11" w14:textId="77777777" w:rsidR="00985B98" w:rsidRDefault="00000000">
            <w:pPr>
              <w:keepNext/>
              <w:keepLines/>
              <w:spacing w:after="0" w:line="240" w:lineRule="auto"/>
              <w:jc w:val="right"/>
            </w:pPr>
            <w:r>
              <w:rPr>
                <w:sz w:val="18"/>
              </w:rPr>
              <w:t>120,8</w:t>
            </w:r>
          </w:p>
        </w:tc>
      </w:tr>
    </w:tbl>
    <w:p w14:paraId="2CF97AF4" w14:textId="77777777" w:rsidR="00985B98" w:rsidRDefault="00985B98">
      <w:pPr>
        <w:spacing w:after="0"/>
      </w:pPr>
    </w:p>
    <w:p w14:paraId="79EEA21A" w14:textId="17454132" w:rsidR="00985B98" w:rsidRDefault="00000000" w:rsidP="00E82141">
      <w:pPr>
        <w:jc w:val="both"/>
      </w:pPr>
      <w:r>
        <w:t>Računalne usluge bilježe porast od 20,8% u ovom izvještajnom razdoblju 2025. godine u odnosu na isto izvještajno razdoblje u 2024. godini zbog implementacije novog računovodstvenog računalnog programa u sklopu zajedničke nabave Sisačko-moslavačke županije, a zbog uvođenja riznice od strane osnivača te ulaska škole kao proračunskog korisnika u istu.</w:t>
      </w:r>
    </w:p>
    <w:p w14:paraId="52CDB9E1" w14:textId="77777777" w:rsidR="00985B98" w:rsidRDefault="00985B98"/>
    <w:p w14:paraId="3960BF16" w14:textId="77777777" w:rsidR="00985B9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1808973D" w14:textId="77777777">
        <w:trPr>
          <w:cantSplit/>
        </w:trPr>
        <w:tc>
          <w:tcPr>
            <w:tcW w:w="700" w:type="dxa"/>
            <w:shd w:val="clear" w:color="auto" w:fill="E7F0F9"/>
            <w:tcMar>
              <w:top w:w="0" w:type="dxa"/>
              <w:bottom w:w="0" w:type="dxa"/>
            </w:tcMar>
            <w:vAlign w:val="center"/>
          </w:tcPr>
          <w:p w14:paraId="4F8F7A5F"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565E03"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616836"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E7D8A0"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6E5960"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679D40" w14:textId="77777777" w:rsidR="00985B98" w:rsidRDefault="00000000">
            <w:pPr>
              <w:keepNext/>
              <w:keepLines/>
              <w:spacing w:after="0" w:line="240" w:lineRule="auto"/>
              <w:jc w:val="center"/>
            </w:pPr>
            <w:r>
              <w:rPr>
                <w:b/>
                <w:sz w:val="18"/>
              </w:rPr>
              <w:t>Indeks (%)</w:t>
            </w:r>
          </w:p>
        </w:tc>
      </w:tr>
      <w:tr w:rsidR="00985B98" w14:paraId="39A10D61" w14:textId="77777777">
        <w:trPr>
          <w:cantSplit/>
          <w:trHeight w:val="560"/>
        </w:trPr>
        <w:tc>
          <w:tcPr>
            <w:tcW w:w="700" w:type="dxa"/>
            <w:tcMar>
              <w:top w:w="0" w:type="dxa"/>
              <w:bottom w:w="0" w:type="dxa"/>
            </w:tcMar>
            <w:vAlign w:val="center"/>
          </w:tcPr>
          <w:p w14:paraId="1C9EC3B9" w14:textId="77777777" w:rsidR="00985B98" w:rsidRDefault="00000000">
            <w:pPr>
              <w:keepNext/>
              <w:keepLines/>
              <w:spacing w:after="0" w:line="240" w:lineRule="auto"/>
            </w:pPr>
            <w:r>
              <w:rPr>
                <w:sz w:val="18"/>
              </w:rPr>
              <w:t>329</w:t>
            </w:r>
          </w:p>
        </w:tc>
        <w:tc>
          <w:tcPr>
            <w:tcW w:w="3180" w:type="dxa"/>
            <w:tcMar>
              <w:top w:w="0" w:type="dxa"/>
              <w:bottom w:w="0" w:type="dxa"/>
            </w:tcMar>
            <w:vAlign w:val="center"/>
          </w:tcPr>
          <w:p w14:paraId="11C74B67" w14:textId="77777777" w:rsidR="00985B98"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25A474ED" w14:textId="77777777" w:rsidR="00985B98" w:rsidRDefault="00000000">
            <w:pPr>
              <w:keepNext/>
              <w:keepLines/>
              <w:spacing w:after="0" w:line="240" w:lineRule="auto"/>
            </w:pPr>
            <w:r>
              <w:rPr>
                <w:sz w:val="18"/>
              </w:rPr>
              <w:t>329</w:t>
            </w:r>
          </w:p>
        </w:tc>
        <w:tc>
          <w:tcPr>
            <w:tcW w:w="1860" w:type="dxa"/>
            <w:tcMar>
              <w:top w:w="0" w:type="dxa"/>
              <w:bottom w:w="0" w:type="dxa"/>
            </w:tcMar>
            <w:vAlign w:val="center"/>
          </w:tcPr>
          <w:p w14:paraId="31267F04" w14:textId="77777777" w:rsidR="00985B98" w:rsidRDefault="00000000">
            <w:pPr>
              <w:keepNext/>
              <w:keepLines/>
              <w:spacing w:after="0" w:line="240" w:lineRule="auto"/>
              <w:jc w:val="right"/>
            </w:pPr>
            <w:r>
              <w:rPr>
                <w:sz w:val="18"/>
              </w:rPr>
              <w:t>7.656,70</w:t>
            </w:r>
          </w:p>
        </w:tc>
        <w:tc>
          <w:tcPr>
            <w:tcW w:w="1860" w:type="dxa"/>
            <w:tcMar>
              <w:top w:w="0" w:type="dxa"/>
              <w:bottom w:w="0" w:type="dxa"/>
            </w:tcMar>
            <w:vAlign w:val="center"/>
          </w:tcPr>
          <w:p w14:paraId="2CE38AE8" w14:textId="77777777" w:rsidR="00985B98" w:rsidRDefault="00000000">
            <w:pPr>
              <w:keepNext/>
              <w:keepLines/>
              <w:spacing w:after="0" w:line="240" w:lineRule="auto"/>
              <w:jc w:val="right"/>
            </w:pPr>
            <w:r>
              <w:rPr>
                <w:sz w:val="18"/>
              </w:rPr>
              <w:t>9.808,99</w:t>
            </w:r>
          </w:p>
        </w:tc>
        <w:tc>
          <w:tcPr>
            <w:tcW w:w="700" w:type="dxa"/>
            <w:tcMar>
              <w:top w:w="0" w:type="dxa"/>
              <w:bottom w:w="0" w:type="dxa"/>
            </w:tcMar>
            <w:vAlign w:val="center"/>
          </w:tcPr>
          <w:p w14:paraId="3054A094" w14:textId="77777777" w:rsidR="00985B98" w:rsidRDefault="00000000">
            <w:pPr>
              <w:keepNext/>
              <w:keepLines/>
              <w:spacing w:after="0" w:line="240" w:lineRule="auto"/>
              <w:jc w:val="right"/>
            </w:pPr>
            <w:r>
              <w:rPr>
                <w:sz w:val="18"/>
              </w:rPr>
              <w:t>128,1</w:t>
            </w:r>
          </w:p>
        </w:tc>
      </w:tr>
    </w:tbl>
    <w:p w14:paraId="728B243E" w14:textId="77777777" w:rsidR="00985B98" w:rsidRDefault="00985B98">
      <w:pPr>
        <w:spacing w:after="0"/>
      </w:pPr>
    </w:p>
    <w:p w14:paraId="5EFA4ED7" w14:textId="77777777" w:rsidR="00985B98" w:rsidRDefault="00000000" w:rsidP="00E82141">
      <w:pPr>
        <w:jc w:val="both"/>
      </w:pPr>
      <w:r>
        <w:t>Ostali nespomenuti rashodi poslovanja također bilježe veliki porast u ovom izvještajnom razdoblju zbog knjiženja na navedeni konto dva značajna iznosa, odnosno polaganje zaštite na radu za veliki broja zaposlenika te knjiženje troška obuke zaposlenika za novi računovodstveni program (višemjesečne obuke) te zbog povećanja naknade za nezapošljavanje invalida.</w:t>
      </w:r>
    </w:p>
    <w:p w14:paraId="43AF72BC" w14:textId="77777777" w:rsidR="00985B98" w:rsidRDefault="00985B98"/>
    <w:p w14:paraId="3CD16DF7" w14:textId="77777777" w:rsidR="00985B9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24729682" w14:textId="77777777">
        <w:trPr>
          <w:cantSplit/>
        </w:trPr>
        <w:tc>
          <w:tcPr>
            <w:tcW w:w="700" w:type="dxa"/>
            <w:shd w:val="clear" w:color="auto" w:fill="E7F0F9"/>
            <w:tcMar>
              <w:top w:w="0" w:type="dxa"/>
              <w:bottom w:w="0" w:type="dxa"/>
            </w:tcMar>
            <w:vAlign w:val="center"/>
          </w:tcPr>
          <w:p w14:paraId="49746423"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327087"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13AE67"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168A93"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CEE51E"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38A72E" w14:textId="77777777" w:rsidR="00985B98" w:rsidRDefault="00000000">
            <w:pPr>
              <w:keepNext/>
              <w:keepLines/>
              <w:spacing w:after="0" w:line="240" w:lineRule="auto"/>
              <w:jc w:val="center"/>
            </w:pPr>
            <w:r>
              <w:rPr>
                <w:b/>
                <w:sz w:val="18"/>
              </w:rPr>
              <w:t>Indeks (%)</w:t>
            </w:r>
          </w:p>
        </w:tc>
      </w:tr>
      <w:tr w:rsidR="00985B98" w14:paraId="693762FD" w14:textId="77777777">
        <w:trPr>
          <w:cantSplit/>
          <w:trHeight w:val="560"/>
        </w:trPr>
        <w:tc>
          <w:tcPr>
            <w:tcW w:w="700" w:type="dxa"/>
            <w:tcMar>
              <w:top w:w="0" w:type="dxa"/>
              <w:bottom w:w="0" w:type="dxa"/>
            </w:tcMar>
            <w:vAlign w:val="center"/>
          </w:tcPr>
          <w:p w14:paraId="5B04CA5F" w14:textId="77777777" w:rsidR="00985B98" w:rsidRDefault="00000000">
            <w:pPr>
              <w:keepNext/>
              <w:keepLines/>
              <w:spacing w:after="0" w:line="240" w:lineRule="auto"/>
            </w:pPr>
            <w:r>
              <w:rPr>
                <w:sz w:val="18"/>
              </w:rPr>
              <w:t>3299</w:t>
            </w:r>
          </w:p>
        </w:tc>
        <w:tc>
          <w:tcPr>
            <w:tcW w:w="3180" w:type="dxa"/>
            <w:tcMar>
              <w:top w:w="0" w:type="dxa"/>
              <w:bottom w:w="0" w:type="dxa"/>
            </w:tcMar>
            <w:vAlign w:val="center"/>
          </w:tcPr>
          <w:p w14:paraId="61D493D9" w14:textId="77777777" w:rsidR="00985B98"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3338D6E8" w14:textId="77777777" w:rsidR="00985B98" w:rsidRDefault="00000000">
            <w:pPr>
              <w:keepNext/>
              <w:keepLines/>
              <w:spacing w:after="0" w:line="240" w:lineRule="auto"/>
            </w:pPr>
            <w:r>
              <w:rPr>
                <w:sz w:val="18"/>
              </w:rPr>
              <w:t>3299</w:t>
            </w:r>
          </w:p>
        </w:tc>
        <w:tc>
          <w:tcPr>
            <w:tcW w:w="1860" w:type="dxa"/>
            <w:tcMar>
              <w:top w:w="0" w:type="dxa"/>
              <w:bottom w:w="0" w:type="dxa"/>
            </w:tcMar>
            <w:vAlign w:val="center"/>
          </w:tcPr>
          <w:p w14:paraId="26994B6A" w14:textId="77777777" w:rsidR="00985B98" w:rsidRDefault="00000000">
            <w:pPr>
              <w:keepNext/>
              <w:keepLines/>
              <w:spacing w:after="0" w:line="240" w:lineRule="auto"/>
              <w:jc w:val="right"/>
            </w:pPr>
            <w:r>
              <w:rPr>
                <w:sz w:val="18"/>
              </w:rPr>
              <w:t>4.909,44</w:t>
            </w:r>
          </w:p>
        </w:tc>
        <w:tc>
          <w:tcPr>
            <w:tcW w:w="1860" w:type="dxa"/>
            <w:tcMar>
              <w:top w:w="0" w:type="dxa"/>
              <w:bottom w:w="0" w:type="dxa"/>
            </w:tcMar>
            <w:vAlign w:val="center"/>
          </w:tcPr>
          <w:p w14:paraId="61EEDFC5" w14:textId="77777777" w:rsidR="00985B98" w:rsidRDefault="00000000">
            <w:pPr>
              <w:keepNext/>
              <w:keepLines/>
              <w:spacing w:after="0" w:line="240" w:lineRule="auto"/>
              <w:jc w:val="right"/>
            </w:pPr>
            <w:r>
              <w:rPr>
                <w:sz w:val="18"/>
              </w:rPr>
              <w:t>7.092,99</w:t>
            </w:r>
          </w:p>
        </w:tc>
        <w:tc>
          <w:tcPr>
            <w:tcW w:w="700" w:type="dxa"/>
            <w:tcMar>
              <w:top w:w="0" w:type="dxa"/>
              <w:bottom w:w="0" w:type="dxa"/>
            </w:tcMar>
            <w:vAlign w:val="center"/>
          </w:tcPr>
          <w:p w14:paraId="240B8699" w14:textId="77777777" w:rsidR="00985B98" w:rsidRDefault="00000000">
            <w:pPr>
              <w:keepNext/>
              <w:keepLines/>
              <w:spacing w:after="0" w:line="240" w:lineRule="auto"/>
              <w:jc w:val="right"/>
            </w:pPr>
            <w:r>
              <w:rPr>
                <w:sz w:val="18"/>
              </w:rPr>
              <w:t>144,5</w:t>
            </w:r>
          </w:p>
        </w:tc>
      </w:tr>
    </w:tbl>
    <w:p w14:paraId="0CDD61B9" w14:textId="77777777" w:rsidR="00985B98" w:rsidRDefault="00985B98">
      <w:pPr>
        <w:spacing w:after="0"/>
      </w:pPr>
    </w:p>
    <w:p w14:paraId="23FAB992" w14:textId="56E2E6EA" w:rsidR="00985B98" w:rsidRDefault="00000000" w:rsidP="00E82141">
      <w:pPr>
        <w:jc w:val="both"/>
      </w:pPr>
      <w:r>
        <w:t>Ostali nespomenuti rashodi poslovanja također bilježe veliki porast od 44,5% u ovom izvještajnom razdoblju zbog knjiženja na navedeni konto dva značajna iznosa, odnosno polaganje zaštite na radu za veliki broja zaposlenika te knjiženje troška obuke zaposlenika za novi računovodstveni program (višemjesečne obuke).</w:t>
      </w:r>
    </w:p>
    <w:p w14:paraId="64ADD4D4" w14:textId="77777777" w:rsidR="00985B98" w:rsidRDefault="00985B98"/>
    <w:p w14:paraId="7BCAAB18" w14:textId="77777777" w:rsidR="00985B98"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3953D5CE" w14:textId="77777777">
        <w:trPr>
          <w:cantSplit/>
        </w:trPr>
        <w:tc>
          <w:tcPr>
            <w:tcW w:w="700" w:type="dxa"/>
            <w:shd w:val="clear" w:color="auto" w:fill="E7F0F9"/>
            <w:tcMar>
              <w:top w:w="0" w:type="dxa"/>
              <w:bottom w:w="0" w:type="dxa"/>
            </w:tcMar>
            <w:vAlign w:val="center"/>
          </w:tcPr>
          <w:p w14:paraId="2912AF02"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D099CC"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A8F82E"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5EB14"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584D89"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A3507E" w14:textId="77777777" w:rsidR="00985B98" w:rsidRDefault="00000000">
            <w:pPr>
              <w:keepNext/>
              <w:keepLines/>
              <w:spacing w:after="0" w:line="240" w:lineRule="auto"/>
              <w:jc w:val="center"/>
            </w:pPr>
            <w:r>
              <w:rPr>
                <w:b/>
                <w:sz w:val="18"/>
              </w:rPr>
              <w:t>Indeks (%)</w:t>
            </w:r>
          </w:p>
        </w:tc>
      </w:tr>
      <w:tr w:rsidR="00985B98" w14:paraId="3D7931D4" w14:textId="77777777">
        <w:trPr>
          <w:cantSplit/>
          <w:trHeight w:val="560"/>
        </w:trPr>
        <w:tc>
          <w:tcPr>
            <w:tcW w:w="700" w:type="dxa"/>
            <w:tcMar>
              <w:top w:w="0" w:type="dxa"/>
              <w:bottom w:w="0" w:type="dxa"/>
            </w:tcMar>
            <w:vAlign w:val="center"/>
          </w:tcPr>
          <w:p w14:paraId="603E061E" w14:textId="77777777" w:rsidR="00985B98" w:rsidRDefault="00000000">
            <w:pPr>
              <w:keepNext/>
              <w:keepLines/>
              <w:spacing w:after="0" w:line="240" w:lineRule="auto"/>
            </w:pPr>
            <w:r>
              <w:rPr>
                <w:sz w:val="18"/>
              </w:rPr>
              <w:t>42</w:t>
            </w:r>
          </w:p>
        </w:tc>
        <w:tc>
          <w:tcPr>
            <w:tcW w:w="3180" w:type="dxa"/>
            <w:tcMar>
              <w:top w:w="0" w:type="dxa"/>
              <w:bottom w:w="0" w:type="dxa"/>
            </w:tcMar>
            <w:vAlign w:val="center"/>
          </w:tcPr>
          <w:p w14:paraId="467D9546" w14:textId="77777777" w:rsidR="00985B98"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5AD4793E" w14:textId="77777777" w:rsidR="00985B98" w:rsidRDefault="00000000">
            <w:pPr>
              <w:keepNext/>
              <w:keepLines/>
              <w:spacing w:after="0" w:line="240" w:lineRule="auto"/>
            </w:pPr>
            <w:r>
              <w:rPr>
                <w:sz w:val="18"/>
              </w:rPr>
              <w:t>42</w:t>
            </w:r>
          </w:p>
        </w:tc>
        <w:tc>
          <w:tcPr>
            <w:tcW w:w="1860" w:type="dxa"/>
            <w:tcMar>
              <w:top w:w="0" w:type="dxa"/>
              <w:bottom w:w="0" w:type="dxa"/>
            </w:tcMar>
            <w:vAlign w:val="center"/>
          </w:tcPr>
          <w:p w14:paraId="243C1F0F" w14:textId="77777777" w:rsidR="00985B98" w:rsidRDefault="00000000">
            <w:pPr>
              <w:keepNext/>
              <w:keepLines/>
              <w:spacing w:after="0" w:line="240" w:lineRule="auto"/>
              <w:jc w:val="right"/>
            </w:pPr>
            <w:r>
              <w:rPr>
                <w:sz w:val="18"/>
              </w:rPr>
              <w:t>19.056,65</w:t>
            </w:r>
          </w:p>
        </w:tc>
        <w:tc>
          <w:tcPr>
            <w:tcW w:w="1860" w:type="dxa"/>
            <w:tcMar>
              <w:top w:w="0" w:type="dxa"/>
              <w:bottom w:w="0" w:type="dxa"/>
            </w:tcMar>
            <w:vAlign w:val="center"/>
          </w:tcPr>
          <w:p w14:paraId="31804CA1" w14:textId="77777777" w:rsidR="00985B98" w:rsidRDefault="00000000">
            <w:pPr>
              <w:keepNext/>
              <w:keepLines/>
              <w:spacing w:after="0" w:line="240" w:lineRule="auto"/>
              <w:jc w:val="right"/>
            </w:pPr>
            <w:r>
              <w:rPr>
                <w:sz w:val="18"/>
              </w:rPr>
              <w:t>29.147,37</w:t>
            </w:r>
          </w:p>
        </w:tc>
        <w:tc>
          <w:tcPr>
            <w:tcW w:w="700" w:type="dxa"/>
            <w:tcMar>
              <w:top w:w="0" w:type="dxa"/>
              <w:bottom w:w="0" w:type="dxa"/>
            </w:tcMar>
            <w:vAlign w:val="center"/>
          </w:tcPr>
          <w:p w14:paraId="22088F96" w14:textId="77777777" w:rsidR="00985B98" w:rsidRDefault="00000000">
            <w:pPr>
              <w:keepNext/>
              <w:keepLines/>
              <w:spacing w:after="0" w:line="240" w:lineRule="auto"/>
              <w:jc w:val="right"/>
            </w:pPr>
            <w:r>
              <w:rPr>
                <w:sz w:val="18"/>
              </w:rPr>
              <w:t>153,0</w:t>
            </w:r>
          </w:p>
        </w:tc>
      </w:tr>
    </w:tbl>
    <w:p w14:paraId="6D795EAA" w14:textId="77777777" w:rsidR="00985B98" w:rsidRDefault="00985B98">
      <w:pPr>
        <w:spacing w:after="0"/>
      </w:pPr>
    </w:p>
    <w:p w14:paraId="643198FD" w14:textId="77777777" w:rsidR="00985B98" w:rsidRDefault="00000000" w:rsidP="00E82141">
      <w:pPr>
        <w:jc w:val="both"/>
      </w:pPr>
      <w:r>
        <w:t>Rashodi za nabavu nefinancijske imovine su veći u odnosu na isti period prošle godine, zbog nabavljanja novih uređaja za potrebe školske kuhinje, nove računalne opreme i uredskog namještaja za potrebe rada te nabavljanje knjiga za školsku knjižnicu i novih udžbenika učenicima za novu školsku godinu.</w:t>
      </w:r>
    </w:p>
    <w:p w14:paraId="5DC71E37" w14:textId="77777777" w:rsidR="00985B98" w:rsidRDefault="00985B98"/>
    <w:p w14:paraId="3ADF0AEF" w14:textId="77777777" w:rsidR="00985B9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5B512BC9" w14:textId="77777777">
        <w:trPr>
          <w:cantSplit/>
        </w:trPr>
        <w:tc>
          <w:tcPr>
            <w:tcW w:w="700" w:type="dxa"/>
            <w:shd w:val="clear" w:color="auto" w:fill="E7F0F9"/>
            <w:tcMar>
              <w:top w:w="0" w:type="dxa"/>
              <w:bottom w:w="0" w:type="dxa"/>
            </w:tcMar>
            <w:vAlign w:val="center"/>
          </w:tcPr>
          <w:p w14:paraId="19B33C55"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1E43A0"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151431"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B43EB8"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D6E50B"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1DDA6B" w14:textId="77777777" w:rsidR="00985B98" w:rsidRDefault="00000000">
            <w:pPr>
              <w:keepNext/>
              <w:keepLines/>
              <w:spacing w:after="0" w:line="240" w:lineRule="auto"/>
              <w:jc w:val="center"/>
            </w:pPr>
            <w:r>
              <w:rPr>
                <w:b/>
                <w:sz w:val="18"/>
              </w:rPr>
              <w:t>Indeks (%)</w:t>
            </w:r>
          </w:p>
        </w:tc>
      </w:tr>
      <w:tr w:rsidR="00985B98" w14:paraId="27EBD6CF" w14:textId="77777777">
        <w:trPr>
          <w:cantSplit/>
          <w:trHeight w:val="560"/>
        </w:trPr>
        <w:tc>
          <w:tcPr>
            <w:tcW w:w="700" w:type="dxa"/>
            <w:tcMar>
              <w:top w:w="0" w:type="dxa"/>
              <w:bottom w:w="0" w:type="dxa"/>
            </w:tcMar>
            <w:vAlign w:val="center"/>
          </w:tcPr>
          <w:p w14:paraId="5409B408" w14:textId="77777777" w:rsidR="00985B98" w:rsidRDefault="00985B98">
            <w:pPr>
              <w:keepNext/>
              <w:keepLines/>
              <w:spacing w:after="0" w:line="240" w:lineRule="auto"/>
            </w:pPr>
          </w:p>
        </w:tc>
        <w:tc>
          <w:tcPr>
            <w:tcW w:w="3180" w:type="dxa"/>
            <w:tcMar>
              <w:top w:w="0" w:type="dxa"/>
              <w:bottom w:w="0" w:type="dxa"/>
            </w:tcMar>
            <w:vAlign w:val="center"/>
          </w:tcPr>
          <w:p w14:paraId="134C73F8" w14:textId="77777777" w:rsidR="00985B98"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7709BB7F" w14:textId="77777777" w:rsidR="00985B98" w:rsidRDefault="00000000">
            <w:pPr>
              <w:keepNext/>
              <w:keepLines/>
              <w:spacing w:after="0" w:line="240" w:lineRule="auto"/>
            </w:pPr>
            <w:r>
              <w:rPr>
                <w:sz w:val="18"/>
              </w:rPr>
              <w:t>Y004</w:t>
            </w:r>
          </w:p>
        </w:tc>
        <w:tc>
          <w:tcPr>
            <w:tcW w:w="1860" w:type="dxa"/>
            <w:tcMar>
              <w:top w:w="0" w:type="dxa"/>
              <w:bottom w:w="0" w:type="dxa"/>
            </w:tcMar>
            <w:vAlign w:val="center"/>
          </w:tcPr>
          <w:p w14:paraId="4B6ADF23" w14:textId="77777777" w:rsidR="00985B98" w:rsidRDefault="00000000">
            <w:pPr>
              <w:keepNext/>
              <w:keepLines/>
              <w:spacing w:after="0" w:line="240" w:lineRule="auto"/>
              <w:jc w:val="right"/>
            </w:pPr>
            <w:r>
              <w:rPr>
                <w:sz w:val="18"/>
              </w:rPr>
              <w:t>7.607,51</w:t>
            </w:r>
          </w:p>
        </w:tc>
        <w:tc>
          <w:tcPr>
            <w:tcW w:w="1860" w:type="dxa"/>
            <w:tcMar>
              <w:top w:w="0" w:type="dxa"/>
              <w:bottom w:w="0" w:type="dxa"/>
            </w:tcMar>
            <w:vAlign w:val="center"/>
          </w:tcPr>
          <w:p w14:paraId="5DFF200C" w14:textId="77777777" w:rsidR="00985B98" w:rsidRDefault="00000000">
            <w:pPr>
              <w:keepNext/>
              <w:keepLines/>
              <w:spacing w:after="0" w:line="240" w:lineRule="auto"/>
              <w:jc w:val="right"/>
            </w:pPr>
            <w:r>
              <w:rPr>
                <w:sz w:val="18"/>
              </w:rPr>
              <w:t>98.911,69</w:t>
            </w:r>
          </w:p>
        </w:tc>
        <w:tc>
          <w:tcPr>
            <w:tcW w:w="700" w:type="dxa"/>
            <w:tcMar>
              <w:top w:w="0" w:type="dxa"/>
              <w:bottom w:w="0" w:type="dxa"/>
            </w:tcMar>
            <w:vAlign w:val="center"/>
          </w:tcPr>
          <w:p w14:paraId="1F7D6080" w14:textId="77777777" w:rsidR="00985B98" w:rsidRDefault="00000000">
            <w:pPr>
              <w:keepNext/>
              <w:keepLines/>
              <w:spacing w:after="0" w:line="240" w:lineRule="auto"/>
              <w:jc w:val="right"/>
            </w:pPr>
            <w:r>
              <w:rPr>
                <w:sz w:val="18"/>
              </w:rPr>
              <w:t>1300,2</w:t>
            </w:r>
          </w:p>
        </w:tc>
      </w:tr>
    </w:tbl>
    <w:p w14:paraId="1D9C818B" w14:textId="77777777" w:rsidR="00985B98" w:rsidRDefault="00985B98">
      <w:pPr>
        <w:spacing w:after="0"/>
      </w:pPr>
    </w:p>
    <w:p w14:paraId="182269C5" w14:textId="77777777" w:rsidR="00985B98" w:rsidRDefault="00000000">
      <w:r>
        <w:t>Veći manjak u odnosu na prethodnu godinu je zbog novog načina knjiženja troška plaće, odnosno knjiženje plaće zaposlenika i pomoćnika u nastavi za prosinac 2025. godine.</w:t>
      </w:r>
    </w:p>
    <w:p w14:paraId="7B406DD9" w14:textId="77777777" w:rsidR="00985B98" w:rsidRDefault="00985B98"/>
    <w:p w14:paraId="71C32261" w14:textId="77777777" w:rsidR="00985B98" w:rsidRDefault="00000000">
      <w:pPr>
        <w:keepNext/>
        <w:spacing w:line="240" w:lineRule="auto"/>
        <w:jc w:val="center"/>
      </w:pPr>
      <w:r>
        <w:rPr>
          <w:b/>
          <w:sz w:val="28"/>
        </w:rPr>
        <w:t>Bilanca</w:t>
      </w:r>
    </w:p>
    <w:p w14:paraId="660AC983" w14:textId="77777777" w:rsidR="00985B9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6E69BD6F" w14:textId="77777777">
        <w:trPr>
          <w:cantSplit/>
        </w:trPr>
        <w:tc>
          <w:tcPr>
            <w:tcW w:w="700" w:type="dxa"/>
            <w:shd w:val="clear" w:color="auto" w:fill="E7F0F9"/>
            <w:tcMar>
              <w:top w:w="0" w:type="dxa"/>
              <w:bottom w:w="0" w:type="dxa"/>
            </w:tcMar>
            <w:vAlign w:val="center"/>
          </w:tcPr>
          <w:p w14:paraId="46E1A48B"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724F4C"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58F88B"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43AF7C" w14:textId="77777777" w:rsidR="00985B9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AFEA5C" w14:textId="77777777" w:rsidR="00985B9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BE9BBF" w14:textId="77777777" w:rsidR="00985B98" w:rsidRDefault="00000000">
            <w:pPr>
              <w:keepNext/>
              <w:keepLines/>
              <w:spacing w:after="0" w:line="240" w:lineRule="auto"/>
              <w:jc w:val="center"/>
            </w:pPr>
            <w:r>
              <w:rPr>
                <w:b/>
                <w:sz w:val="18"/>
              </w:rPr>
              <w:t>Indeks (%)</w:t>
            </w:r>
          </w:p>
        </w:tc>
      </w:tr>
      <w:tr w:rsidR="00985B98" w14:paraId="4C62C10D" w14:textId="77777777">
        <w:trPr>
          <w:cantSplit/>
          <w:trHeight w:val="560"/>
        </w:trPr>
        <w:tc>
          <w:tcPr>
            <w:tcW w:w="700" w:type="dxa"/>
            <w:tcMar>
              <w:top w:w="0" w:type="dxa"/>
              <w:bottom w:w="0" w:type="dxa"/>
            </w:tcMar>
            <w:vAlign w:val="center"/>
          </w:tcPr>
          <w:p w14:paraId="69953D5D" w14:textId="77777777" w:rsidR="00985B98" w:rsidRDefault="00985B98">
            <w:pPr>
              <w:keepNext/>
              <w:keepLines/>
              <w:spacing w:after="0" w:line="240" w:lineRule="auto"/>
            </w:pPr>
          </w:p>
        </w:tc>
        <w:tc>
          <w:tcPr>
            <w:tcW w:w="3180" w:type="dxa"/>
            <w:tcMar>
              <w:top w:w="0" w:type="dxa"/>
              <w:bottom w:w="0" w:type="dxa"/>
            </w:tcMar>
            <w:vAlign w:val="center"/>
          </w:tcPr>
          <w:p w14:paraId="1D60044F" w14:textId="77777777" w:rsidR="00985B98" w:rsidRDefault="00000000">
            <w:pPr>
              <w:keepNext/>
              <w:keepLines/>
              <w:spacing w:after="0" w:line="240" w:lineRule="auto"/>
            </w:pPr>
            <w:r>
              <w:rPr>
                <w:sz w:val="18"/>
              </w:rPr>
              <w:t>IMOVINA (šifre B002+1)</w:t>
            </w:r>
          </w:p>
        </w:tc>
        <w:tc>
          <w:tcPr>
            <w:tcW w:w="700" w:type="dxa"/>
            <w:tcMar>
              <w:top w:w="0" w:type="dxa"/>
              <w:bottom w:w="0" w:type="dxa"/>
            </w:tcMar>
            <w:vAlign w:val="center"/>
          </w:tcPr>
          <w:p w14:paraId="07921748" w14:textId="77777777" w:rsidR="00985B98" w:rsidRDefault="00000000">
            <w:pPr>
              <w:keepNext/>
              <w:keepLines/>
              <w:spacing w:after="0" w:line="240" w:lineRule="auto"/>
            </w:pPr>
            <w:r>
              <w:rPr>
                <w:sz w:val="18"/>
              </w:rPr>
              <w:t>B001</w:t>
            </w:r>
          </w:p>
        </w:tc>
        <w:tc>
          <w:tcPr>
            <w:tcW w:w="1860" w:type="dxa"/>
            <w:tcMar>
              <w:top w:w="0" w:type="dxa"/>
              <w:bottom w:w="0" w:type="dxa"/>
            </w:tcMar>
            <w:vAlign w:val="center"/>
          </w:tcPr>
          <w:p w14:paraId="0A93CAB3" w14:textId="77777777" w:rsidR="00985B98" w:rsidRDefault="00000000">
            <w:pPr>
              <w:keepNext/>
              <w:keepLines/>
              <w:spacing w:after="0" w:line="240" w:lineRule="auto"/>
              <w:jc w:val="right"/>
            </w:pPr>
            <w:r>
              <w:rPr>
                <w:sz w:val="18"/>
              </w:rPr>
              <w:t>564.062,95</w:t>
            </w:r>
          </w:p>
        </w:tc>
        <w:tc>
          <w:tcPr>
            <w:tcW w:w="1860" w:type="dxa"/>
            <w:tcMar>
              <w:top w:w="0" w:type="dxa"/>
              <w:bottom w:w="0" w:type="dxa"/>
            </w:tcMar>
            <w:vAlign w:val="center"/>
          </w:tcPr>
          <w:p w14:paraId="62D3E894" w14:textId="77777777" w:rsidR="00985B98" w:rsidRDefault="00000000">
            <w:pPr>
              <w:keepNext/>
              <w:keepLines/>
              <w:spacing w:after="0" w:line="240" w:lineRule="auto"/>
              <w:jc w:val="right"/>
            </w:pPr>
            <w:r>
              <w:rPr>
                <w:sz w:val="18"/>
              </w:rPr>
              <w:t>547.428,69</w:t>
            </w:r>
          </w:p>
        </w:tc>
        <w:tc>
          <w:tcPr>
            <w:tcW w:w="700" w:type="dxa"/>
            <w:tcMar>
              <w:top w:w="0" w:type="dxa"/>
              <w:bottom w:w="0" w:type="dxa"/>
            </w:tcMar>
            <w:vAlign w:val="center"/>
          </w:tcPr>
          <w:p w14:paraId="768E4E67" w14:textId="77777777" w:rsidR="00985B98" w:rsidRDefault="00000000">
            <w:pPr>
              <w:keepNext/>
              <w:keepLines/>
              <w:spacing w:after="0" w:line="240" w:lineRule="auto"/>
              <w:jc w:val="right"/>
            </w:pPr>
            <w:r>
              <w:rPr>
                <w:sz w:val="18"/>
              </w:rPr>
              <w:t>97,1</w:t>
            </w:r>
          </w:p>
        </w:tc>
      </w:tr>
    </w:tbl>
    <w:p w14:paraId="0394DE7A" w14:textId="77777777" w:rsidR="00985B98" w:rsidRDefault="00985B98">
      <w:pPr>
        <w:spacing w:after="0"/>
      </w:pPr>
    </w:p>
    <w:p w14:paraId="01279E21" w14:textId="77777777" w:rsidR="00985B98" w:rsidRDefault="00000000">
      <w:r>
        <w:t>Ukupna vrijednost imovine na dan 31.12.2025. godine iznosi 547.428,69€ te je manja za 2,9% u odnosu na 2024. godinu.</w:t>
      </w:r>
    </w:p>
    <w:p w14:paraId="67EA071E" w14:textId="77777777" w:rsidR="00985B98" w:rsidRDefault="00985B98"/>
    <w:p w14:paraId="181FED68" w14:textId="77777777" w:rsidR="00985B9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667194A1" w14:textId="77777777">
        <w:trPr>
          <w:cantSplit/>
        </w:trPr>
        <w:tc>
          <w:tcPr>
            <w:tcW w:w="700" w:type="dxa"/>
            <w:shd w:val="clear" w:color="auto" w:fill="E7F0F9"/>
            <w:tcMar>
              <w:top w:w="0" w:type="dxa"/>
              <w:bottom w:w="0" w:type="dxa"/>
            </w:tcMar>
            <w:vAlign w:val="center"/>
          </w:tcPr>
          <w:p w14:paraId="1BE3761E"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370D62"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0909B8"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C6BCA1" w14:textId="77777777" w:rsidR="00985B9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3F13C0" w14:textId="77777777" w:rsidR="00985B9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E58D7C" w14:textId="77777777" w:rsidR="00985B98" w:rsidRDefault="00000000">
            <w:pPr>
              <w:keepNext/>
              <w:keepLines/>
              <w:spacing w:after="0" w:line="240" w:lineRule="auto"/>
              <w:jc w:val="center"/>
            </w:pPr>
            <w:r>
              <w:rPr>
                <w:b/>
                <w:sz w:val="18"/>
              </w:rPr>
              <w:t>Indeks (%)</w:t>
            </w:r>
          </w:p>
        </w:tc>
      </w:tr>
      <w:tr w:rsidR="00985B98" w14:paraId="45D566CA" w14:textId="77777777">
        <w:trPr>
          <w:cantSplit/>
          <w:trHeight w:val="560"/>
        </w:trPr>
        <w:tc>
          <w:tcPr>
            <w:tcW w:w="700" w:type="dxa"/>
            <w:tcMar>
              <w:top w:w="0" w:type="dxa"/>
              <w:bottom w:w="0" w:type="dxa"/>
            </w:tcMar>
            <w:vAlign w:val="center"/>
          </w:tcPr>
          <w:p w14:paraId="2E5FC260" w14:textId="77777777" w:rsidR="00985B98" w:rsidRDefault="00000000">
            <w:pPr>
              <w:keepNext/>
              <w:keepLines/>
              <w:spacing w:after="0" w:line="240" w:lineRule="auto"/>
            </w:pPr>
            <w:r>
              <w:rPr>
                <w:sz w:val="18"/>
              </w:rPr>
              <w:t>0227</w:t>
            </w:r>
          </w:p>
        </w:tc>
        <w:tc>
          <w:tcPr>
            <w:tcW w:w="3180" w:type="dxa"/>
            <w:tcMar>
              <w:top w:w="0" w:type="dxa"/>
              <w:bottom w:w="0" w:type="dxa"/>
            </w:tcMar>
            <w:vAlign w:val="center"/>
          </w:tcPr>
          <w:p w14:paraId="2AB0A735" w14:textId="77777777" w:rsidR="00985B98"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560B56EC" w14:textId="77777777" w:rsidR="00985B98" w:rsidRDefault="00000000">
            <w:pPr>
              <w:keepNext/>
              <w:keepLines/>
              <w:spacing w:after="0" w:line="240" w:lineRule="auto"/>
            </w:pPr>
            <w:r>
              <w:rPr>
                <w:sz w:val="18"/>
              </w:rPr>
              <w:t>0227</w:t>
            </w:r>
          </w:p>
        </w:tc>
        <w:tc>
          <w:tcPr>
            <w:tcW w:w="1860" w:type="dxa"/>
            <w:tcMar>
              <w:top w:w="0" w:type="dxa"/>
              <w:bottom w:w="0" w:type="dxa"/>
            </w:tcMar>
            <w:vAlign w:val="center"/>
          </w:tcPr>
          <w:p w14:paraId="0C127E32" w14:textId="77777777" w:rsidR="00985B98" w:rsidRDefault="00000000">
            <w:pPr>
              <w:keepNext/>
              <w:keepLines/>
              <w:spacing w:after="0" w:line="240" w:lineRule="auto"/>
              <w:jc w:val="right"/>
            </w:pPr>
            <w:r>
              <w:rPr>
                <w:sz w:val="18"/>
              </w:rPr>
              <w:t>10.000,13</w:t>
            </w:r>
          </w:p>
        </w:tc>
        <w:tc>
          <w:tcPr>
            <w:tcW w:w="1860" w:type="dxa"/>
            <w:tcMar>
              <w:top w:w="0" w:type="dxa"/>
              <w:bottom w:w="0" w:type="dxa"/>
            </w:tcMar>
            <w:vAlign w:val="center"/>
          </w:tcPr>
          <w:p w14:paraId="3C7FEB34" w14:textId="77777777" w:rsidR="00985B98" w:rsidRDefault="00000000">
            <w:pPr>
              <w:keepNext/>
              <w:keepLines/>
              <w:spacing w:after="0" w:line="240" w:lineRule="auto"/>
              <w:jc w:val="right"/>
            </w:pPr>
            <w:r>
              <w:rPr>
                <w:sz w:val="18"/>
              </w:rPr>
              <w:t>19.324,34</w:t>
            </w:r>
          </w:p>
        </w:tc>
        <w:tc>
          <w:tcPr>
            <w:tcW w:w="700" w:type="dxa"/>
            <w:tcMar>
              <w:top w:w="0" w:type="dxa"/>
              <w:bottom w:w="0" w:type="dxa"/>
            </w:tcMar>
            <w:vAlign w:val="center"/>
          </w:tcPr>
          <w:p w14:paraId="126EF5B9" w14:textId="77777777" w:rsidR="00985B98" w:rsidRDefault="00000000">
            <w:pPr>
              <w:keepNext/>
              <w:keepLines/>
              <w:spacing w:after="0" w:line="240" w:lineRule="auto"/>
              <w:jc w:val="right"/>
            </w:pPr>
            <w:r>
              <w:rPr>
                <w:sz w:val="18"/>
              </w:rPr>
              <w:t>193,2</w:t>
            </w:r>
          </w:p>
        </w:tc>
      </w:tr>
    </w:tbl>
    <w:p w14:paraId="26D53025" w14:textId="77777777" w:rsidR="00985B98" w:rsidRDefault="00985B98">
      <w:pPr>
        <w:spacing w:after="0"/>
      </w:pPr>
    </w:p>
    <w:p w14:paraId="5BA4D055" w14:textId="77777777" w:rsidR="00985B98" w:rsidRDefault="00000000">
      <w:r>
        <w:t>Uređaji, strojevi i oprema za ostale namjene ima najveći porast u odnosu na prethodnu godinu jer su kupljeni uređaji za potrebe škole kuhinje (perilica posuđa i štednjak).</w:t>
      </w:r>
    </w:p>
    <w:p w14:paraId="5CD9455D" w14:textId="77777777" w:rsidR="00985B98" w:rsidRDefault="00985B98"/>
    <w:p w14:paraId="1646DDA0" w14:textId="77777777" w:rsidR="00985B98"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35B04133" w14:textId="77777777">
        <w:trPr>
          <w:cantSplit/>
        </w:trPr>
        <w:tc>
          <w:tcPr>
            <w:tcW w:w="700" w:type="dxa"/>
            <w:shd w:val="clear" w:color="auto" w:fill="E7F0F9"/>
            <w:tcMar>
              <w:top w:w="0" w:type="dxa"/>
              <w:bottom w:w="0" w:type="dxa"/>
            </w:tcMar>
            <w:vAlign w:val="center"/>
          </w:tcPr>
          <w:p w14:paraId="37B0F8A0"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3EE021"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2908D6"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44D214" w14:textId="77777777" w:rsidR="00985B9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3C4F64" w14:textId="77777777" w:rsidR="00985B9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BE6833" w14:textId="77777777" w:rsidR="00985B98" w:rsidRDefault="00000000">
            <w:pPr>
              <w:keepNext/>
              <w:keepLines/>
              <w:spacing w:after="0" w:line="240" w:lineRule="auto"/>
              <w:jc w:val="center"/>
            </w:pPr>
            <w:r>
              <w:rPr>
                <w:b/>
                <w:sz w:val="18"/>
              </w:rPr>
              <w:t>Indeks (%)</w:t>
            </w:r>
          </w:p>
        </w:tc>
      </w:tr>
      <w:tr w:rsidR="00985B98" w14:paraId="28E3596D" w14:textId="77777777">
        <w:trPr>
          <w:cantSplit/>
          <w:trHeight w:val="560"/>
        </w:trPr>
        <w:tc>
          <w:tcPr>
            <w:tcW w:w="700" w:type="dxa"/>
            <w:tcMar>
              <w:top w:w="0" w:type="dxa"/>
              <w:bottom w:w="0" w:type="dxa"/>
            </w:tcMar>
            <w:vAlign w:val="center"/>
          </w:tcPr>
          <w:p w14:paraId="45C1FEBE" w14:textId="77777777" w:rsidR="00985B98" w:rsidRDefault="00985B98">
            <w:pPr>
              <w:keepNext/>
              <w:keepLines/>
              <w:spacing w:after="0" w:line="240" w:lineRule="auto"/>
            </w:pPr>
          </w:p>
        </w:tc>
        <w:tc>
          <w:tcPr>
            <w:tcW w:w="3180" w:type="dxa"/>
            <w:tcMar>
              <w:top w:w="0" w:type="dxa"/>
              <w:bottom w:w="0" w:type="dxa"/>
            </w:tcMar>
            <w:vAlign w:val="center"/>
          </w:tcPr>
          <w:p w14:paraId="3E56A839" w14:textId="77777777" w:rsidR="00985B98"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1D806D73" w14:textId="77777777" w:rsidR="00985B98" w:rsidRDefault="00000000">
            <w:pPr>
              <w:keepNext/>
              <w:keepLines/>
              <w:spacing w:after="0" w:line="240" w:lineRule="auto"/>
            </w:pPr>
            <w:r>
              <w:rPr>
                <w:sz w:val="18"/>
              </w:rPr>
              <w:t>B003</w:t>
            </w:r>
          </w:p>
        </w:tc>
        <w:tc>
          <w:tcPr>
            <w:tcW w:w="1860" w:type="dxa"/>
            <w:tcMar>
              <w:top w:w="0" w:type="dxa"/>
              <w:bottom w:w="0" w:type="dxa"/>
            </w:tcMar>
            <w:vAlign w:val="center"/>
          </w:tcPr>
          <w:p w14:paraId="62F386FA" w14:textId="77777777" w:rsidR="00985B98" w:rsidRDefault="00000000">
            <w:pPr>
              <w:keepNext/>
              <w:keepLines/>
              <w:spacing w:after="0" w:line="240" w:lineRule="auto"/>
              <w:jc w:val="right"/>
            </w:pPr>
            <w:r>
              <w:rPr>
                <w:sz w:val="18"/>
              </w:rPr>
              <w:t>564.062,95</w:t>
            </w:r>
          </w:p>
        </w:tc>
        <w:tc>
          <w:tcPr>
            <w:tcW w:w="1860" w:type="dxa"/>
            <w:tcMar>
              <w:top w:w="0" w:type="dxa"/>
              <w:bottom w:w="0" w:type="dxa"/>
            </w:tcMar>
            <w:vAlign w:val="center"/>
          </w:tcPr>
          <w:p w14:paraId="338E197C" w14:textId="77777777" w:rsidR="00985B98" w:rsidRDefault="00000000">
            <w:pPr>
              <w:keepNext/>
              <w:keepLines/>
              <w:spacing w:after="0" w:line="240" w:lineRule="auto"/>
              <w:jc w:val="right"/>
            </w:pPr>
            <w:r>
              <w:rPr>
                <w:sz w:val="18"/>
              </w:rPr>
              <w:t>547.428,69</w:t>
            </w:r>
          </w:p>
        </w:tc>
        <w:tc>
          <w:tcPr>
            <w:tcW w:w="700" w:type="dxa"/>
            <w:tcMar>
              <w:top w:w="0" w:type="dxa"/>
              <w:bottom w:w="0" w:type="dxa"/>
            </w:tcMar>
            <w:vAlign w:val="center"/>
          </w:tcPr>
          <w:p w14:paraId="6D747CC4" w14:textId="77777777" w:rsidR="00985B98" w:rsidRDefault="00000000">
            <w:pPr>
              <w:keepNext/>
              <w:keepLines/>
              <w:spacing w:after="0" w:line="240" w:lineRule="auto"/>
              <w:jc w:val="right"/>
            </w:pPr>
            <w:r>
              <w:rPr>
                <w:sz w:val="18"/>
              </w:rPr>
              <w:t>97,1</w:t>
            </w:r>
          </w:p>
        </w:tc>
      </w:tr>
    </w:tbl>
    <w:p w14:paraId="34EA6591" w14:textId="77777777" w:rsidR="00985B98" w:rsidRDefault="00985B98">
      <w:pPr>
        <w:spacing w:after="0"/>
      </w:pPr>
    </w:p>
    <w:p w14:paraId="1F4743A5" w14:textId="71F1E436" w:rsidR="00985B98" w:rsidRDefault="00000000">
      <w:r>
        <w:t>Obveze i vlastiti izvori na dan 31.12.2025. iznose 547.428,69€ te su također manji u odnosu na prethodnu godinu za 2,9%.</w:t>
      </w:r>
    </w:p>
    <w:p w14:paraId="0BFACDDD" w14:textId="77777777" w:rsidR="00985B98" w:rsidRDefault="00985B98"/>
    <w:p w14:paraId="2FB83E40" w14:textId="77777777" w:rsidR="00985B9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06DD6A7F" w14:textId="77777777">
        <w:trPr>
          <w:cantSplit/>
        </w:trPr>
        <w:tc>
          <w:tcPr>
            <w:tcW w:w="700" w:type="dxa"/>
            <w:shd w:val="clear" w:color="auto" w:fill="E7F0F9"/>
            <w:tcMar>
              <w:top w:w="0" w:type="dxa"/>
              <w:bottom w:w="0" w:type="dxa"/>
            </w:tcMar>
            <w:vAlign w:val="center"/>
          </w:tcPr>
          <w:p w14:paraId="4A38E21C"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47233E"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1FB78C"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D14E46" w14:textId="77777777" w:rsidR="00985B9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B4D128" w14:textId="77777777" w:rsidR="00985B9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C8E3F2" w14:textId="77777777" w:rsidR="00985B98" w:rsidRDefault="00000000">
            <w:pPr>
              <w:keepNext/>
              <w:keepLines/>
              <w:spacing w:after="0" w:line="240" w:lineRule="auto"/>
              <w:jc w:val="center"/>
            </w:pPr>
            <w:r>
              <w:rPr>
                <w:b/>
                <w:sz w:val="18"/>
              </w:rPr>
              <w:t>Indeks (%)</w:t>
            </w:r>
          </w:p>
        </w:tc>
      </w:tr>
      <w:tr w:rsidR="00985B98" w14:paraId="3C9CCF21" w14:textId="77777777">
        <w:trPr>
          <w:cantSplit/>
          <w:trHeight w:val="560"/>
        </w:trPr>
        <w:tc>
          <w:tcPr>
            <w:tcW w:w="700" w:type="dxa"/>
            <w:tcMar>
              <w:top w:w="0" w:type="dxa"/>
              <w:bottom w:w="0" w:type="dxa"/>
            </w:tcMar>
            <w:vAlign w:val="center"/>
          </w:tcPr>
          <w:p w14:paraId="774B4AB9" w14:textId="77777777" w:rsidR="00985B98" w:rsidRDefault="00000000">
            <w:pPr>
              <w:keepNext/>
              <w:keepLines/>
              <w:spacing w:after="0" w:line="240" w:lineRule="auto"/>
            </w:pPr>
            <w:r>
              <w:rPr>
                <w:sz w:val="18"/>
              </w:rPr>
              <w:t>2</w:t>
            </w:r>
          </w:p>
        </w:tc>
        <w:tc>
          <w:tcPr>
            <w:tcW w:w="3180" w:type="dxa"/>
            <w:tcMar>
              <w:top w:w="0" w:type="dxa"/>
              <w:bottom w:w="0" w:type="dxa"/>
            </w:tcMar>
            <w:vAlign w:val="center"/>
          </w:tcPr>
          <w:p w14:paraId="1E7E8B14" w14:textId="77777777" w:rsidR="00985B98" w:rsidRDefault="00000000">
            <w:pPr>
              <w:keepNext/>
              <w:keepLines/>
              <w:spacing w:after="0" w:line="240" w:lineRule="auto"/>
            </w:pPr>
            <w:r>
              <w:rPr>
                <w:sz w:val="18"/>
              </w:rPr>
              <w:t>Obveze (šifre 23+24+25+26+27+29)</w:t>
            </w:r>
          </w:p>
        </w:tc>
        <w:tc>
          <w:tcPr>
            <w:tcW w:w="700" w:type="dxa"/>
            <w:tcMar>
              <w:top w:w="0" w:type="dxa"/>
              <w:bottom w:w="0" w:type="dxa"/>
            </w:tcMar>
            <w:vAlign w:val="center"/>
          </w:tcPr>
          <w:p w14:paraId="77AA3915" w14:textId="77777777" w:rsidR="00985B98" w:rsidRDefault="00000000">
            <w:pPr>
              <w:keepNext/>
              <w:keepLines/>
              <w:spacing w:after="0" w:line="240" w:lineRule="auto"/>
            </w:pPr>
            <w:r>
              <w:rPr>
                <w:sz w:val="18"/>
              </w:rPr>
              <w:t>2</w:t>
            </w:r>
          </w:p>
        </w:tc>
        <w:tc>
          <w:tcPr>
            <w:tcW w:w="1860" w:type="dxa"/>
            <w:tcMar>
              <w:top w:w="0" w:type="dxa"/>
              <w:bottom w:w="0" w:type="dxa"/>
            </w:tcMar>
            <w:vAlign w:val="center"/>
          </w:tcPr>
          <w:p w14:paraId="585CCB05" w14:textId="77777777" w:rsidR="00985B98" w:rsidRDefault="00000000">
            <w:pPr>
              <w:keepNext/>
              <w:keepLines/>
              <w:spacing w:after="0" w:line="240" w:lineRule="auto"/>
              <w:jc w:val="right"/>
            </w:pPr>
            <w:r>
              <w:rPr>
                <w:sz w:val="18"/>
              </w:rPr>
              <w:t>76.556,33</w:t>
            </w:r>
          </w:p>
        </w:tc>
        <w:tc>
          <w:tcPr>
            <w:tcW w:w="1860" w:type="dxa"/>
            <w:tcMar>
              <w:top w:w="0" w:type="dxa"/>
              <w:bottom w:w="0" w:type="dxa"/>
            </w:tcMar>
            <w:vAlign w:val="center"/>
          </w:tcPr>
          <w:p w14:paraId="7AE56A56" w14:textId="77777777" w:rsidR="00985B98" w:rsidRDefault="00000000">
            <w:pPr>
              <w:keepNext/>
              <w:keepLines/>
              <w:spacing w:after="0" w:line="240" w:lineRule="auto"/>
              <w:jc w:val="right"/>
            </w:pPr>
            <w:r>
              <w:rPr>
                <w:sz w:val="18"/>
              </w:rPr>
              <w:t>89.783,24</w:t>
            </w:r>
          </w:p>
        </w:tc>
        <w:tc>
          <w:tcPr>
            <w:tcW w:w="700" w:type="dxa"/>
            <w:tcMar>
              <w:top w:w="0" w:type="dxa"/>
              <w:bottom w:w="0" w:type="dxa"/>
            </w:tcMar>
            <w:vAlign w:val="center"/>
          </w:tcPr>
          <w:p w14:paraId="4E2D582F" w14:textId="77777777" w:rsidR="00985B98" w:rsidRDefault="00000000">
            <w:pPr>
              <w:keepNext/>
              <w:keepLines/>
              <w:spacing w:after="0" w:line="240" w:lineRule="auto"/>
              <w:jc w:val="right"/>
            </w:pPr>
            <w:r>
              <w:rPr>
                <w:sz w:val="18"/>
              </w:rPr>
              <w:t>117,3</w:t>
            </w:r>
          </w:p>
        </w:tc>
      </w:tr>
    </w:tbl>
    <w:p w14:paraId="66C2E679" w14:textId="77777777" w:rsidR="00985B98" w:rsidRDefault="00985B98">
      <w:pPr>
        <w:spacing w:after="0"/>
      </w:pPr>
    </w:p>
    <w:p w14:paraId="5E10A6B8" w14:textId="67CCE67F" w:rsidR="00985B98" w:rsidRDefault="00000000">
      <w:r>
        <w:t>Ukupno obveze iznose 89.783,24€, a sastoje se od obveze za zaposlene 78.547,21€, obveze za materijalne rashode 11.087,66€, obveze za nabavu nefinancijske imovine 121,00€ i obveze za predujmove, depozite, jamčevne pologe i tuđe prihode 27,37€.</w:t>
      </w:r>
    </w:p>
    <w:p w14:paraId="3FD8B6DD" w14:textId="77777777" w:rsidR="00985B98" w:rsidRDefault="00000000">
      <w:r>
        <w:t> </w:t>
      </w:r>
    </w:p>
    <w:p w14:paraId="77EC03D7" w14:textId="77777777" w:rsidR="00985B98" w:rsidRDefault="00985B98"/>
    <w:p w14:paraId="345C3ADA" w14:textId="77777777" w:rsidR="00985B9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5AF10822" w14:textId="77777777">
        <w:trPr>
          <w:cantSplit/>
        </w:trPr>
        <w:tc>
          <w:tcPr>
            <w:tcW w:w="700" w:type="dxa"/>
            <w:shd w:val="clear" w:color="auto" w:fill="E7F0F9"/>
            <w:tcMar>
              <w:top w:w="0" w:type="dxa"/>
              <w:bottom w:w="0" w:type="dxa"/>
            </w:tcMar>
            <w:vAlign w:val="center"/>
          </w:tcPr>
          <w:p w14:paraId="514A9ED3"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BBF87E"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38CC91"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0CCBDC" w14:textId="77777777" w:rsidR="00985B9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F5BA6B" w14:textId="77777777" w:rsidR="00985B9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FD92AF" w14:textId="77777777" w:rsidR="00985B98" w:rsidRDefault="00000000">
            <w:pPr>
              <w:keepNext/>
              <w:keepLines/>
              <w:spacing w:after="0" w:line="240" w:lineRule="auto"/>
              <w:jc w:val="center"/>
            </w:pPr>
            <w:r>
              <w:rPr>
                <w:b/>
                <w:sz w:val="18"/>
              </w:rPr>
              <w:t>Indeks (%)</w:t>
            </w:r>
          </w:p>
        </w:tc>
      </w:tr>
      <w:tr w:rsidR="00985B98" w14:paraId="2B549E83" w14:textId="77777777">
        <w:trPr>
          <w:cantSplit/>
          <w:trHeight w:val="560"/>
        </w:trPr>
        <w:tc>
          <w:tcPr>
            <w:tcW w:w="700" w:type="dxa"/>
            <w:tcMar>
              <w:top w:w="0" w:type="dxa"/>
              <w:bottom w:w="0" w:type="dxa"/>
            </w:tcMar>
            <w:vAlign w:val="center"/>
          </w:tcPr>
          <w:p w14:paraId="6BD1E1E8" w14:textId="77777777" w:rsidR="00985B98" w:rsidRDefault="00000000">
            <w:pPr>
              <w:keepNext/>
              <w:keepLines/>
              <w:spacing w:after="0" w:line="240" w:lineRule="auto"/>
            </w:pPr>
            <w:r>
              <w:rPr>
                <w:sz w:val="18"/>
              </w:rPr>
              <w:t>9</w:t>
            </w:r>
          </w:p>
        </w:tc>
        <w:tc>
          <w:tcPr>
            <w:tcW w:w="3180" w:type="dxa"/>
            <w:tcMar>
              <w:top w:w="0" w:type="dxa"/>
              <w:bottom w:w="0" w:type="dxa"/>
            </w:tcMar>
            <w:vAlign w:val="center"/>
          </w:tcPr>
          <w:p w14:paraId="6DD46E26" w14:textId="77777777" w:rsidR="00985B98"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0992A52A" w14:textId="77777777" w:rsidR="00985B98" w:rsidRDefault="00000000">
            <w:pPr>
              <w:keepNext/>
              <w:keepLines/>
              <w:spacing w:after="0" w:line="240" w:lineRule="auto"/>
            </w:pPr>
            <w:r>
              <w:rPr>
                <w:sz w:val="18"/>
              </w:rPr>
              <w:t>9</w:t>
            </w:r>
          </w:p>
        </w:tc>
        <w:tc>
          <w:tcPr>
            <w:tcW w:w="1860" w:type="dxa"/>
            <w:tcMar>
              <w:top w:w="0" w:type="dxa"/>
              <w:bottom w:w="0" w:type="dxa"/>
            </w:tcMar>
            <w:vAlign w:val="center"/>
          </w:tcPr>
          <w:p w14:paraId="59D6EB63" w14:textId="77777777" w:rsidR="00985B98" w:rsidRDefault="00000000">
            <w:pPr>
              <w:keepNext/>
              <w:keepLines/>
              <w:spacing w:after="0" w:line="240" w:lineRule="auto"/>
              <w:jc w:val="right"/>
            </w:pPr>
            <w:r>
              <w:rPr>
                <w:sz w:val="18"/>
              </w:rPr>
              <w:t>487.506,62</w:t>
            </w:r>
          </w:p>
        </w:tc>
        <w:tc>
          <w:tcPr>
            <w:tcW w:w="1860" w:type="dxa"/>
            <w:tcMar>
              <w:top w:w="0" w:type="dxa"/>
              <w:bottom w:w="0" w:type="dxa"/>
            </w:tcMar>
            <w:vAlign w:val="center"/>
          </w:tcPr>
          <w:p w14:paraId="25111879" w14:textId="77777777" w:rsidR="00985B98" w:rsidRDefault="00000000">
            <w:pPr>
              <w:keepNext/>
              <w:keepLines/>
              <w:spacing w:after="0" w:line="240" w:lineRule="auto"/>
              <w:jc w:val="right"/>
            </w:pPr>
            <w:r>
              <w:rPr>
                <w:sz w:val="18"/>
              </w:rPr>
              <w:t>457.645,45</w:t>
            </w:r>
          </w:p>
        </w:tc>
        <w:tc>
          <w:tcPr>
            <w:tcW w:w="700" w:type="dxa"/>
            <w:tcMar>
              <w:top w:w="0" w:type="dxa"/>
              <w:bottom w:w="0" w:type="dxa"/>
            </w:tcMar>
            <w:vAlign w:val="center"/>
          </w:tcPr>
          <w:p w14:paraId="1BE495D4" w14:textId="77777777" w:rsidR="00985B98" w:rsidRDefault="00000000">
            <w:pPr>
              <w:keepNext/>
              <w:keepLines/>
              <w:spacing w:after="0" w:line="240" w:lineRule="auto"/>
              <w:jc w:val="right"/>
            </w:pPr>
            <w:r>
              <w:rPr>
                <w:sz w:val="18"/>
              </w:rPr>
              <w:t>93,9</w:t>
            </w:r>
          </w:p>
        </w:tc>
      </w:tr>
    </w:tbl>
    <w:p w14:paraId="6851DFC7" w14:textId="77777777" w:rsidR="00985B98" w:rsidRDefault="00985B98">
      <w:pPr>
        <w:spacing w:after="0"/>
      </w:pPr>
    </w:p>
    <w:p w14:paraId="2802CD7B" w14:textId="77777777" w:rsidR="00985B98" w:rsidRDefault="00000000">
      <w:r>
        <w:t>Ukupno vlastiti izvori iznose 457.645,45€ te su manji za 6,1% u odnosu na 2024. godinu.</w:t>
      </w:r>
    </w:p>
    <w:p w14:paraId="0E91A8A6" w14:textId="77777777" w:rsidR="00985B98" w:rsidRDefault="00985B98"/>
    <w:p w14:paraId="04FFAE4B" w14:textId="77777777" w:rsidR="00985B9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1B530300" w14:textId="77777777">
        <w:trPr>
          <w:cantSplit/>
        </w:trPr>
        <w:tc>
          <w:tcPr>
            <w:tcW w:w="700" w:type="dxa"/>
            <w:shd w:val="clear" w:color="auto" w:fill="E7F0F9"/>
            <w:tcMar>
              <w:top w:w="0" w:type="dxa"/>
              <w:bottom w:w="0" w:type="dxa"/>
            </w:tcMar>
            <w:vAlign w:val="center"/>
          </w:tcPr>
          <w:p w14:paraId="5FCE1962"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B0AFE7"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58E898"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DFC120" w14:textId="77777777" w:rsidR="00985B9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00A68E" w14:textId="77777777" w:rsidR="00985B9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026113" w14:textId="77777777" w:rsidR="00985B98" w:rsidRDefault="00000000">
            <w:pPr>
              <w:keepNext/>
              <w:keepLines/>
              <w:spacing w:after="0" w:line="240" w:lineRule="auto"/>
              <w:jc w:val="center"/>
            </w:pPr>
            <w:r>
              <w:rPr>
                <w:b/>
                <w:sz w:val="18"/>
              </w:rPr>
              <w:t>Indeks (%)</w:t>
            </w:r>
          </w:p>
        </w:tc>
      </w:tr>
      <w:tr w:rsidR="00985B98" w14:paraId="57761361" w14:textId="77777777">
        <w:trPr>
          <w:cantSplit/>
          <w:trHeight w:val="560"/>
        </w:trPr>
        <w:tc>
          <w:tcPr>
            <w:tcW w:w="700" w:type="dxa"/>
            <w:tcMar>
              <w:top w:w="0" w:type="dxa"/>
              <w:bottom w:w="0" w:type="dxa"/>
            </w:tcMar>
            <w:vAlign w:val="center"/>
          </w:tcPr>
          <w:p w14:paraId="5AA6DC75" w14:textId="77777777" w:rsidR="00985B98" w:rsidRDefault="00000000">
            <w:pPr>
              <w:keepNext/>
              <w:keepLines/>
              <w:spacing w:after="0" w:line="240" w:lineRule="auto"/>
            </w:pPr>
            <w:r>
              <w:rPr>
                <w:sz w:val="18"/>
              </w:rPr>
              <w:t>922</w:t>
            </w:r>
          </w:p>
        </w:tc>
        <w:tc>
          <w:tcPr>
            <w:tcW w:w="3180" w:type="dxa"/>
            <w:tcMar>
              <w:top w:w="0" w:type="dxa"/>
              <w:bottom w:w="0" w:type="dxa"/>
            </w:tcMar>
            <w:vAlign w:val="center"/>
          </w:tcPr>
          <w:p w14:paraId="4E645CF4" w14:textId="77777777" w:rsidR="00985B98"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7B4EDE6B" w14:textId="77777777" w:rsidR="00985B98" w:rsidRDefault="00000000">
            <w:pPr>
              <w:keepNext/>
              <w:keepLines/>
              <w:spacing w:after="0" w:line="240" w:lineRule="auto"/>
            </w:pPr>
            <w:r>
              <w:rPr>
                <w:sz w:val="18"/>
              </w:rPr>
              <w:t>922</w:t>
            </w:r>
          </w:p>
        </w:tc>
        <w:tc>
          <w:tcPr>
            <w:tcW w:w="1860" w:type="dxa"/>
            <w:tcMar>
              <w:top w:w="0" w:type="dxa"/>
              <w:bottom w:w="0" w:type="dxa"/>
            </w:tcMar>
            <w:vAlign w:val="center"/>
          </w:tcPr>
          <w:p w14:paraId="1BB7B0A6" w14:textId="77777777" w:rsidR="00985B98" w:rsidRDefault="00000000">
            <w:pPr>
              <w:keepNext/>
              <w:keepLines/>
              <w:spacing w:after="0" w:line="240" w:lineRule="auto"/>
              <w:jc w:val="right"/>
            </w:pPr>
            <w:r>
              <w:rPr>
                <w:sz w:val="18"/>
              </w:rPr>
              <w:t>10.899,85</w:t>
            </w:r>
          </w:p>
        </w:tc>
        <w:tc>
          <w:tcPr>
            <w:tcW w:w="1860" w:type="dxa"/>
            <w:tcMar>
              <w:top w:w="0" w:type="dxa"/>
              <w:bottom w:w="0" w:type="dxa"/>
            </w:tcMar>
            <w:vAlign w:val="center"/>
          </w:tcPr>
          <w:p w14:paraId="71009ADB" w14:textId="77777777" w:rsidR="00985B98" w:rsidRDefault="00000000">
            <w:pPr>
              <w:keepNext/>
              <w:keepLines/>
              <w:spacing w:after="0" w:line="240" w:lineRule="auto"/>
              <w:jc w:val="right"/>
            </w:pPr>
            <w:r>
              <w:rPr>
                <w:sz w:val="18"/>
              </w:rPr>
              <w:t>-80.246,44</w:t>
            </w:r>
          </w:p>
        </w:tc>
        <w:tc>
          <w:tcPr>
            <w:tcW w:w="700" w:type="dxa"/>
            <w:tcMar>
              <w:top w:w="0" w:type="dxa"/>
              <w:bottom w:w="0" w:type="dxa"/>
            </w:tcMar>
            <w:vAlign w:val="center"/>
          </w:tcPr>
          <w:p w14:paraId="3F41B97F" w14:textId="77777777" w:rsidR="00985B98" w:rsidRDefault="00000000">
            <w:pPr>
              <w:keepNext/>
              <w:keepLines/>
              <w:spacing w:after="0" w:line="240" w:lineRule="auto"/>
              <w:jc w:val="right"/>
            </w:pPr>
            <w:r>
              <w:rPr>
                <w:sz w:val="18"/>
              </w:rPr>
              <w:t>-736,2</w:t>
            </w:r>
          </w:p>
        </w:tc>
      </w:tr>
    </w:tbl>
    <w:p w14:paraId="67D24CB3" w14:textId="77777777" w:rsidR="00985B98" w:rsidRDefault="00985B98">
      <w:pPr>
        <w:spacing w:after="0"/>
      </w:pPr>
    </w:p>
    <w:p w14:paraId="09D54E6A" w14:textId="77777777" w:rsidR="00985B98" w:rsidRDefault="00000000" w:rsidP="00E82141">
      <w:pPr>
        <w:jc w:val="both"/>
      </w:pPr>
      <w:r>
        <w:t>Rezultat manjka je u biti rezultat novog načina knjiženja troška plaće zaposlenika i pomoćnika u nastavi, jer je knjižena plaća za prosinac 2025., a potražuje se za isplatu koja je u siječnju 2026. godine.</w:t>
      </w:r>
    </w:p>
    <w:p w14:paraId="572DF4C0" w14:textId="77777777" w:rsidR="00985B98" w:rsidRDefault="00985B98"/>
    <w:p w14:paraId="19134517" w14:textId="77777777" w:rsidR="00985B98"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20603E26" w14:textId="77777777">
        <w:trPr>
          <w:cantSplit/>
        </w:trPr>
        <w:tc>
          <w:tcPr>
            <w:tcW w:w="700" w:type="dxa"/>
            <w:shd w:val="clear" w:color="auto" w:fill="E7F0F9"/>
            <w:tcMar>
              <w:top w:w="0" w:type="dxa"/>
              <w:bottom w:w="0" w:type="dxa"/>
            </w:tcMar>
            <w:vAlign w:val="center"/>
          </w:tcPr>
          <w:p w14:paraId="134E46F2"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045F3F"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C6C99A"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31115B" w14:textId="77777777" w:rsidR="00985B9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73A601" w14:textId="77777777" w:rsidR="00985B9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B434F3" w14:textId="77777777" w:rsidR="00985B98" w:rsidRDefault="00000000">
            <w:pPr>
              <w:keepNext/>
              <w:keepLines/>
              <w:spacing w:after="0" w:line="240" w:lineRule="auto"/>
              <w:jc w:val="center"/>
            </w:pPr>
            <w:r>
              <w:rPr>
                <w:b/>
                <w:sz w:val="18"/>
              </w:rPr>
              <w:t>Indeks (%)</w:t>
            </w:r>
          </w:p>
        </w:tc>
      </w:tr>
      <w:tr w:rsidR="00985B98" w14:paraId="3F355156" w14:textId="77777777">
        <w:trPr>
          <w:cantSplit/>
          <w:trHeight w:val="560"/>
        </w:trPr>
        <w:tc>
          <w:tcPr>
            <w:tcW w:w="700" w:type="dxa"/>
            <w:tcMar>
              <w:top w:w="0" w:type="dxa"/>
              <w:bottom w:w="0" w:type="dxa"/>
            </w:tcMar>
            <w:vAlign w:val="center"/>
          </w:tcPr>
          <w:p w14:paraId="273CF28D" w14:textId="77777777" w:rsidR="00985B98" w:rsidRDefault="00000000">
            <w:pPr>
              <w:keepNext/>
              <w:keepLines/>
              <w:spacing w:after="0" w:line="240" w:lineRule="auto"/>
            </w:pPr>
            <w:r>
              <w:rPr>
                <w:sz w:val="18"/>
              </w:rPr>
              <w:t>12911</w:t>
            </w:r>
          </w:p>
        </w:tc>
        <w:tc>
          <w:tcPr>
            <w:tcW w:w="3180" w:type="dxa"/>
            <w:tcMar>
              <w:top w:w="0" w:type="dxa"/>
              <w:bottom w:w="0" w:type="dxa"/>
            </w:tcMar>
            <w:vAlign w:val="center"/>
          </w:tcPr>
          <w:p w14:paraId="6831CE48" w14:textId="77777777" w:rsidR="00985B98"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59C38FCC" w14:textId="77777777" w:rsidR="00985B98" w:rsidRDefault="00000000">
            <w:pPr>
              <w:keepNext/>
              <w:keepLines/>
              <w:spacing w:after="0" w:line="240" w:lineRule="auto"/>
            </w:pPr>
            <w:r>
              <w:rPr>
                <w:sz w:val="18"/>
              </w:rPr>
              <w:t>12911</w:t>
            </w:r>
          </w:p>
        </w:tc>
        <w:tc>
          <w:tcPr>
            <w:tcW w:w="1860" w:type="dxa"/>
            <w:tcMar>
              <w:top w:w="0" w:type="dxa"/>
              <w:bottom w:w="0" w:type="dxa"/>
            </w:tcMar>
            <w:vAlign w:val="center"/>
          </w:tcPr>
          <w:p w14:paraId="3E7077AD" w14:textId="77777777" w:rsidR="00985B98" w:rsidRDefault="00000000">
            <w:pPr>
              <w:keepNext/>
              <w:keepLines/>
              <w:spacing w:after="0" w:line="240" w:lineRule="auto"/>
              <w:jc w:val="right"/>
            </w:pPr>
            <w:r>
              <w:rPr>
                <w:sz w:val="18"/>
              </w:rPr>
              <w:t>99,55</w:t>
            </w:r>
          </w:p>
        </w:tc>
        <w:tc>
          <w:tcPr>
            <w:tcW w:w="1860" w:type="dxa"/>
            <w:tcMar>
              <w:top w:w="0" w:type="dxa"/>
              <w:bottom w:w="0" w:type="dxa"/>
            </w:tcMar>
            <w:vAlign w:val="center"/>
          </w:tcPr>
          <w:p w14:paraId="7BABF745" w14:textId="77777777" w:rsidR="00985B98" w:rsidRDefault="00000000">
            <w:pPr>
              <w:keepNext/>
              <w:keepLines/>
              <w:spacing w:after="0" w:line="240" w:lineRule="auto"/>
              <w:jc w:val="right"/>
            </w:pPr>
            <w:r>
              <w:rPr>
                <w:sz w:val="18"/>
              </w:rPr>
              <w:t>157,21</w:t>
            </w:r>
          </w:p>
        </w:tc>
        <w:tc>
          <w:tcPr>
            <w:tcW w:w="700" w:type="dxa"/>
            <w:tcMar>
              <w:top w:w="0" w:type="dxa"/>
              <w:bottom w:w="0" w:type="dxa"/>
            </w:tcMar>
            <w:vAlign w:val="center"/>
          </w:tcPr>
          <w:p w14:paraId="0F3A0097" w14:textId="77777777" w:rsidR="00985B98" w:rsidRDefault="00000000">
            <w:pPr>
              <w:keepNext/>
              <w:keepLines/>
              <w:spacing w:after="0" w:line="240" w:lineRule="auto"/>
              <w:jc w:val="right"/>
            </w:pPr>
            <w:r>
              <w:rPr>
                <w:sz w:val="18"/>
              </w:rPr>
              <w:t>157,9</w:t>
            </w:r>
          </w:p>
        </w:tc>
      </w:tr>
    </w:tbl>
    <w:p w14:paraId="7B7E17B8" w14:textId="77777777" w:rsidR="00985B98" w:rsidRDefault="00985B98">
      <w:pPr>
        <w:spacing w:after="0"/>
      </w:pPr>
    </w:p>
    <w:p w14:paraId="2F60F8FD" w14:textId="77777777" w:rsidR="00985B98" w:rsidRDefault="00000000">
      <w:r>
        <w:t>Porast potraživanja za naknade koje se refundiraju je u biti zbog bolovanja koje je na teret HZZO-a.</w:t>
      </w:r>
    </w:p>
    <w:p w14:paraId="363CC13A" w14:textId="77777777" w:rsidR="00985B98" w:rsidRDefault="00985B98"/>
    <w:p w14:paraId="53CD9434" w14:textId="77777777" w:rsidR="00985B98" w:rsidRDefault="00000000">
      <w:pPr>
        <w:keepNext/>
        <w:spacing w:line="240" w:lineRule="auto"/>
        <w:jc w:val="center"/>
      </w:pPr>
      <w:r>
        <w:rPr>
          <w:b/>
          <w:sz w:val="28"/>
        </w:rPr>
        <w:t>Izvještaj o rashodima prema funkcijskoj klasifikaciji</w:t>
      </w:r>
    </w:p>
    <w:p w14:paraId="10BB6955" w14:textId="77777777" w:rsidR="00985B9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29042D47" w14:textId="77777777">
        <w:trPr>
          <w:cantSplit/>
        </w:trPr>
        <w:tc>
          <w:tcPr>
            <w:tcW w:w="700" w:type="dxa"/>
            <w:shd w:val="clear" w:color="auto" w:fill="E7F0F9"/>
            <w:tcMar>
              <w:top w:w="0" w:type="dxa"/>
              <w:bottom w:w="0" w:type="dxa"/>
            </w:tcMar>
            <w:vAlign w:val="center"/>
          </w:tcPr>
          <w:p w14:paraId="00C49E93"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0425D4"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2BE0E0"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5ED2D1"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CA9190"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F21E4" w14:textId="77777777" w:rsidR="00985B98" w:rsidRDefault="00000000">
            <w:pPr>
              <w:keepNext/>
              <w:keepLines/>
              <w:spacing w:after="0" w:line="240" w:lineRule="auto"/>
              <w:jc w:val="center"/>
            </w:pPr>
            <w:r>
              <w:rPr>
                <w:b/>
                <w:sz w:val="18"/>
              </w:rPr>
              <w:t>Indeks (%)</w:t>
            </w:r>
          </w:p>
        </w:tc>
      </w:tr>
      <w:tr w:rsidR="00985B98" w14:paraId="4CFFF6D5" w14:textId="77777777">
        <w:trPr>
          <w:cantSplit/>
          <w:trHeight w:val="560"/>
        </w:trPr>
        <w:tc>
          <w:tcPr>
            <w:tcW w:w="700" w:type="dxa"/>
            <w:tcMar>
              <w:top w:w="0" w:type="dxa"/>
              <w:bottom w:w="0" w:type="dxa"/>
            </w:tcMar>
            <w:vAlign w:val="center"/>
          </w:tcPr>
          <w:p w14:paraId="2049C39A" w14:textId="77777777" w:rsidR="00985B98" w:rsidRDefault="00000000">
            <w:pPr>
              <w:keepNext/>
              <w:keepLines/>
              <w:spacing w:after="0" w:line="240" w:lineRule="auto"/>
            </w:pPr>
            <w:r>
              <w:rPr>
                <w:sz w:val="18"/>
              </w:rPr>
              <w:t>0912</w:t>
            </w:r>
          </w:p>
        </w:tc>
        <w:tc>
          <w:tcPr>
            <w:tcW w:w="3180" w:type="dxa"/>
            <w:tcMar>
              <w:top w:w="0" w:type="dxa"/>
              <w:bottom w:w="0" w:type="dxa"/>
            </w:tcMar>
            <w:vAlign w:val="center"/>
          </w:tcPr>
          <w:p w14:paraId="48E1B75F" w14:textId="77777777" w:rsidR="00985B98" w:rsidRDefault="00000000">
            <w:pPr>
              <w:keepNext/>
              <w:keepLines/>
              <w:spacing w:after="0" w:line="240" w:lineRule="auto"/>
            </w:pPr>
            <w:r>
              <w:rPr>
                <w:sz w:val="18"/>
              </w:rPr>
              <w:t>Osnovno obrazovanje</w:t>
            </w:r>
          </w:p>
        </w:tc>
        <w:tc>
          <w:tcPr>
            <w:tcW w:w="700" w:type="dxa"/>
            <w:tcMar>
              <w:top w:w="0" w:type="dxa"/>
              <w:bottom w:w="0" w:type="dxa"/>
            </w:tcMar>
            <w:vAlign w:val="center"/>
          </w:tcPr>
          <w:p w14:paraId="16449BD8" w14:textId="77777777" w:rsidR="00985B98" w:rsidRDefault="00000000">
            <w:pPr>
              <w:keepNext/>
              <w:keepLines/>
              <w:spacing w:after="0" w:line="240" w:lineRule="auto"/>
            </w:pPr>
            <w:r>
              <w:rPr>
                <w:sz w:val="18"/>
              </w:rPr>
              <w:t>0912</w:t>
            </w:r>
          </w:p>
        </w:tc>
        <w:tc>
          <w:tcPr>
            <w:tcW w:w="1860" w:type="dxa"/>
            <w:tcMar>
              <w:top w:w="0" w:type="dxa"/>
              <w:bottom w:w="0" w:type="dxa"/>
            </w:tcMar>
            <w:vAlign w:val="center"/>
          </w:tcPr>
          <w:p w14:paraId="611B6943" w14:textId="77777777" w:rsidR="00985B98" w:rsidRDefault="00000000">
            <w:pPr>
              <w:keepNext/>
              <w:keepLines/>
              <w:spacing w:after="0" w:line="240" w:lineRule="auto"/>
              <w:jc w:val="right"/>
            </w:pPr>
            <w:r>
              <w:rPr>
                <w:sz w:val="18"/>
              </w:rPr>
              <w:t>1.000.242,27</w:t>
            </w:r>
          </w:p>
        </w:tc>
        <w:tc>
          <w:tcPr>
            <w:tcW w:w="1860" w:type="dxa"/>
            <w:tcMar>
              <w:top w:w="0" w:type="dxa"/>
              <w:bottom w:w="0" w:type="dxa"/>
            </w:tcMar>
            <w:vAlign w:val="center"/>
          </w:tcPr>
          <w:p w14:paraId="73A2073A" w14:textId="77777777" w:rsidR="00985B98" w:rsidRDefault="00000000">
            <w:pPr>
              <w:keepNext/>
              <w:keepLines/>
              <w:spacing w:after="0" w:line="240" w:lineRule="auto"/>
              <w:jc w:val="right"/>
            </w:pPr>
            <w:r>
              <w:rPr>
                <w:sz w:val="18"/>
              </w:rPr>
              <w:t>1.163.070,07</w:t>
            </w:r>
          </w:p>
        </w:tc>
        <w:tc>
          <w:tcPr>
            <w:tcW w:w="700" w:type="dxa"/>
            <w:tcMar>
              <w:top w:w="0" w:type="dxa"/>
              <w:bottom w:w="0" w:type="dxa"/>
            </w:tcMar>
            <w:vAlign w:val="center"/>
          </w:tcPr>
          <w:p w14:paraId="29FC3EBF" w14:textId="77777777" w:rsidR="00985B98" w:rsidRDefault="00000000">
            <w:pPr>
              <w:keepNext/>
              <w:keepLines/>
              <w:spacing w:after="0" w:line="240" w:lineRule="auto"/>
              <w:jc w:val="right"/>
            </w:pPr>
            <w:r>
              <w:rPr>
                <w:sz w:val="18"/>
              </w:rPr>
              <w:t>116,3</w:t>
            </w:r>
          </w:p>
        </w:tc>
      </w:tr>
    </w:tbl>
    <w:p w14:paraId="12AD343B" w14:textId="77777777" w:rsidR="00985B98" w:rsidRDefault="00985B98">
      <w:pPr>
        <w:spacing w:after="0"/>
      </w:pPr>
    </w:p>
    <w:p w14:paraId="19B96FA9" w14:textId="77777777" w:rsidR="00985B98" w:rsidRDefault="00000000">
      <w:r>
        <w:t>Rashodi osnovnog obrazovanje za 2025. godinu iznose 1.163.070,07€ te imaju povećanje u odnosu na 2024. godinu za 16,3%. </w:t>
      </w:r>
    </w:p>
    <w:p w14:paraId="79FD7105" w14:textId="77777777" w:rsidR="00985B98" w:rsidRDefault="00985B98"/>
    <w:p w14:paraId="0AE5C9BA" w14:textId="77777777" w:rsidR="00985B9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0CF4713A" w14:textId="77777777">
        <w:trPr>
          <w:cantSplit/>
        </w:trPr>
        <w:tc>
          <w:tcPr>
            <w:tcW w:w="700" w:type="dxa"/>
            <w:shd w:val="clear" w:color="auto" w:fill="E7F0F9"/>
            <w:tcMar>
              <w:top w:w="0" w:type="dxa"/>
              <w:bottom w:w="0" w:type="dxa"/>
            </w:tcMar>
            <w:vAlign w:val="center"/>
          </w:tcPr>
          <w:p w14:paraId="2C789041"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42E37C"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1DC5AB"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34FEBE" w14:textId="77777777" w:rsidR="00985B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1DC61E" w14:textId="77777777" w:rsidR="00985B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4659EC" w14:textId="77777777" w:rsidR="00985B98" w:rsidRDefault="00000000">
            <w:pPr>
              <w:keepNext/>
              <w:keepLines/>
              <w:spacing w:after="0" w:line="240" w:lineRule="auto"/>
              <w:jc w:val="center"/>
            </w:pPr>
            <w:r>
              <w:rPr>
                <w:b/>
                <w:sz w:val="18"/>
              </w:rPr>
              <w:t>Indeks (%)</w:t>
            </w:r>
          </w:p>
        </w:tc>
      </w:tr>
      <w:tr w:rsidR="00985B98" w14:paraId="30878588" w14:textId="77777777">
        <w:trPr>
          <w:cantSplit/>
          <w:trHeight w:val="560"/>
        </w:trPr>
        <w:tc>
          <w:tcPr>
            <w:tcW w:w="700" w:type="dxa"/>
            <w:tcMar>
              <w:top w:w="0" w:type="dxa"/>
              <w:bottom w:w="0" w:type="dxa"/>
            </w:tcMar>
            <w:vAlign w:val="center"/>
          </w:tcPr>
          <w:p w14:paraId="18A88448" w14:textId="77777777" w:rsidR="00985B98" w:rsidRDefault="00000000">
            <w:pPr>
              <w:keepNext/>
              <w:keepLines/>
              <w:spacing w:after="0" w:line="240" w:lineRule="auto"/>
            </w:pPr>
            <w:r>
              <w:rPr>
                <w:sz w:val="18"/>
              </w:rPr>
              <w:t>096</w:t>
            </w:r>
          </w:p>
        </w:tc>
        <w:tc>
          <w:tcPr>
            <w:tcW w:w="3180" w:type="dxa"/>
            <w:tcMar>
              <w:top w:w="0" w:type="dxa"/>
              <w:bottom w:w="0" w:type="dxa"/>
            </w:tcMar>
            <w:vAlign w:val="center"/>
          </w:tcPr>
          <w:p w14:paraId="13E77934" w14:textId="77777777" w:rsidR="00985B98" w:rsidRDefault="00000000">
            <w:pPr>
              <w:keepNext/>
              <w:keepLines/>
              <w:spacing w:after="0" w:line="240" w:lineRule="auto"/>
            </w:pPr>
            <w:r>
              <w:rPr>
                <w:sz w:val="18"/>
              </w:rPr>
              <w:t>Dodatne usluge u obrazovanju</w:t>
            </w:r>
          </w:p>
        </w:tc>
        <w:tc>
          <w:tcPr>
            <w:tcW w:w="700" w:type="dxa"/>
            <w:tcMar>
              <w:top w:w="0" w:type="dxa"/>
              <w:bottom w:w="0" w:type="dxa"/>
            </w:tcMar>
            <w:vAlign w:val="center"/>
          </w:tcPr>
          <w:p w14:paraId="32217876" w14:textId="77777777" w:rsidR="00985B98" w:rsidRDefault="00000000">
            <w:pPr>
              <w:keepNext/>
              <w:keepLines/>
              <w:spacing w:after="0" w:line="240" w:lineRule="auto"/>
            </w:pPr>
            <w:r>
              <w:rPr>
                <w:sz w:val="18"/>
              </w:rPr>
              <w:t>096</w:t>
            </w:r>
          </w:p>
        </w:tc>
        <w:tc>
          <w:tcPr>
            <w:tcW w:w="1860" w:type="dxa"/>
            <w:tcMar>
              <w:top w:w="0" w:type="dxa"/>
              <w:bottom w:w="0" w:type="dxa"/>
            </w:tcMar>
            <w:vAlign w:val="center"/>
          </w:tcPr>
          <w:p w14:paraId="49172607" w14:textId="77777777" w:rsidR="00985B98" w:rsidRDefault="00000000">
            <w:pPr>
              <w:keepNext/>
              <w:keepLines/>
              <w:spacing w:after="0" w:line="240" w:lineRule="auto"/>
              <w:jc w:val="right"/>
            </w:pPr>
            <w:r>
              <w:rPr>
                <w:sz w:val="18"/>
              </w:rPr>
              <w:t>25.533,66</w:t>
            </w:r>
          </w:p>
        </w:tc>
        <w:tc>
          <w:tcPr>
            <w:tcW w:w="1860" w:type="dxa"/>
            <w:tcMar>
              <w:top w:w="0" w:type="dxa"/>
              <w:bottom w:w="0" w:type="dxa"/>
            </w:tcMar>
            <w:vAlign w:val="center"/>
          </w:tcPr>
          <w:p w14:paraId="181AA83F" w14:textId="77777777" w:rsidR="00985B98" w:rsidRDefault="00000000">
            <w:pPr>
              <w:keepNext/>
              <w:keepLines/>
              <w:spacing w:after="0" w:line="240" w:lineRule="auto"/>
              <w:jc w:val="right"/>
            </w:pPr>
            <w:r>
              <w:rPr>
                <w:sz w:val="18"/>
              </w:rPr>
              <w:t>25.894,53</w:t>
            </w:r>
          </w:p>
        </w:tc>
        <w:tc>
          <w:tcPr>
            <w:tcW w:w="700" w:type="dxa"/>
            <w:tcMar>
              <w:top w:w="0" w:type="dxa"/>
              <w:bottom w:w="0" w:type="dxa"/>
            </w:tcMar>
            <w:vAlign w:val="center"/>
          </w:tcPr>
          <w:p w14:paraId="51B53A39" w14:textId="77777777" w:rsidR="00985B98" w:rsidRDefault="00000000">
            <w:pPr>
              <w:keepNext/>
              <w:keepLines/>
              <w:spacing w:after="0" w:line="240" w:lineRule="auto"/>
              <w:jc w:val="right"/>
            </w:pPr>
            <w:r>
              <w:rPr>
                <w:sz w:val="18"/>
              </w:rPr>
              <w:t>101,4</w:t>
            </w:r>
          </w:p>
        </w:tc>
      </w:tr>
    </w:tbl>
    <w:p w14:paraId="5A1A90AA" w14:textId="77777777" w:rsidR="00985B98" w:rsidRDefault="00985B98">
      <w:pPr>
        <w:spacing w:after="0"/>
      </w:pPr>
    </w:p>
    <w:p w14:paraId="482CB6EE" w14:textId="77777777" w:rsidR="00985B98" w:rsidRDefault="00000000">
      <w:r>
        <w:t>Dodatne usluge u obrazovanju iznose 25.894,53€ te su veće za 1,4% u usporedbi s prethodnom godinom, a odnose se na prehranu učenika.</w:t>
      </w:r>
    </w:p>
    <w:p w14:paraId="767294E3" w14:textId="5C89671A" w:rsidR="00985B98" w:rsidRDefault="00985B98"/>
    <w:p w14:paraId="1E4539B9" w14:textId="60C4298C" w:rsidR="00E82141" w:rsidRDefault="00E82141"/>
    <w:p w14:paraId="607ADAAA" w14:textId="6423A0CB" w:rsidR="00E82141" w:rsidRDefault="00E82141"/>
    <w:p w14:paraId="45DC814F" w14:textId="77777777" w:rsidR="00E82141" w:rsidRDefault="00E82141"/>
    <w:p w14:paraId="24C6ACCC" w14:textId="77777777" w:rsidR="00985B98" w:rsidRDefault="00000000">
      <w:pPr>
        <w:keepNext/>
        <w:spacing w:line="240" w:lineRule="auto"/>
        <w:jc w:val="center"/>
      </w:pPr>
      <w:r>
        <w:rPr>
          <w:b/>
          <w:sz w:val="28"/>
        </w:rPr>
        <w:lastRenderedPageBreak/>
        <w:t>Promjene u vrijednosti i obujmu imovine i obveza</w:t>
      </w:r>
    </w:p>
    <w:p w14:paraId="74DFC9F9" w14:textId="77777777" w:rsidR="00985B98"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85B98" w14:paraId="23F6EFCE" w14:textId="77777777">
        <w:trPr>
          <w:cantSplit/>
        </w:trPr>
        <w:tc>
          <w:tcPr>
            <w:tcW w:w="700" w:type="dxa"/>
            <w:shd w:val="clear" w:color="auto" w:fill="E7F0F9"/>
            <w:tcMar>
              <w:top w:w="0" w:type="dxa"/>
              <w:bottom w:w="0" w:type="dxa"/>
            </w:tcMar>
            <w:vAlign w:val="center"/>
          </w:tcPr>
          <w:p w14:paraId="48545AAE"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279D8D"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D409FA"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8FC144" w14:textId="77777777" w:rsidR="00985B9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FF63AE0" w14:textId="77777777" w:rsidR="00985B9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43D6FCD" w14:textId="77777777" w:rsidR="00985B98" w:rsidRDefault="00000000">
            <w:pPr>
              <w:keepNext/>
              <w:keepLines/>
              <w:spacing w:after="0" w:line="240" w:lineRule="auto"/>
              <w:jc w:val="center"/>
            </w:pPr>
            <w:r>
              <w:rPr>
                <w:b/>
                <w:sz w:val="18"/>
              </w:rPr>
              <w:t>Indeks (%)</w:t>
            </w:r>
          </w:p>
        </w:tc>
      </w:tr>
      <w:tr w:rsidR="00985B98" w14:paraId="70CDA817" w14:textId="77777777">
        <w:trPr>
          <w:cantSplit/>
          <w:trHeight w:val="560"/>
        </w:trPr>
        <w:tc>
          <w:tcPr>
            <w:tcW w:w="700" w:type="dxa"/>
            <w:tcMar>
              <w:top w:w="0" w:type="dxa"/>
              <w:bottom w:w="0" w:type="dxa"/>
            </w:tcMar>
            <w:vAlign w:val="center"/>
          </w:tcPr>
          <w:p w14:paraId="535A6DA1" w14:textId="77777777" w:rsidR="00985B98" w:rsidRDefault="00000000">
            <w:pPr>
              <w:keepNext/>
              <w:keepLines/>
              <w:spacing w:after="0" w:line="240" w:lineRule="auto"/>
            </w:pPr>
            <w:r>
              <w:rPr>
                <w:sz w:val="18"/>
              </w:rPr>
              <w:t>9151</w:t>
            </w:r>
          </w:p>
        </w:tc>
        <w:tc>
          <w:tcPr>
            <w:tcW w:w="3180" w:type="dxa"/>
            <w:tcMar>
              <w:top w:w="0" w:type="dxa"/>
              <w:bottom w:w="0" w:type="dxa"/>
            </w:tcMar>
            <w:vAlign w:val="center"/>
          </w:tcPr>
          <w:p w14:paraId="4F2C9161" w14:textId="77777777" w:rsidR="00985B98"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7BD2128C" w14:textId="77777777" w:rsidR="00985B98" w:rsidRDefault="00000000">
            <w:pPr>
              <w:keepNext/>
              <w:keepLines/>
              <w:spacing w:after="0" w:line="240" w:lineRule="auto"/>
            </w:pPr>
            <w:r>
              <w:rPr>
                <w:sz w:val="18"/>
              </w:rPr>
              <w:t>9151</w:t>
            </w:r>
          </w:p>
        </w:tc>
        <w:tc>
          <w:tcPr>
            <w:tcW w:w="1860" w:type="dxa"/>
            <w:tcMar>
              <w:top w:w="0" w:type="dxa"/>
              <w:bottom w:w="0" w:type="dxa"/>
            </w:tcMar>
            <w:vAlign w:val="center"/>
          </w:tcPr>
          <w:p w14:paraId="451E7CAB" w14:textId="77777777" w:rsidR="00985B98" w:rsidRDefault="00000000">
            <w:pPr>
              <w:keepNext/>
              <w:keepLines/>
              <w:spacing w:after="0" w:line="240" w:lineRule="auto"/>
              <w:jc w:val="right"/>
            </w:pPr>
            <w:r>
              <w:rPr>
                <w:sz w:val="18"/>
              </w:rPr>
              <w:t>0,00</w:t>
            </w:r>
          </w:p>
        </w:tc>
        <w:tc>
          <w:tcPr>
            <w:tcW w:w="1860" w:type="dxa"/>
            <w:tcMar>
              <w:top w:w="0" w:type="dxa"/>
              <w:bottom w:w="0" w:type="dxa"/>
            </w:tcMar>
            <w:vAlign w:val="center"/>
          </w:tcPr>
          <w:p w14:paraId="3DA1970B" w14:textId="77777777" w:rsidR="00985B98" w:rsidRDefault="00000000">
            <w:pPr>
              <w:keepNext/>
              <w:keepLines/>
              <w:spacing w:after="0" w:line="240" w:lineRule="auto"/>
              <w:jc w:val="right"/>
            </w:pPr>
            <w:r>
              <w:rPr>
                <w:sz w:val="18"/>
              </w:rPr>
              <w:t>40.207,51</w:t>
            </w:r>
          </w:p>
        </w:tc>
        <w:tc>
          <w:tcPr>
            <w:tcW w:w="700" w:type="dxa"/>
            <w:tcMar>
              <w:top w:w="0" w:type="dxa"/>
              <w:bottom w:w="0" w:type="dxa"/>
            </w:tcMar>
            <w:vAlign w:val="center"/>
          </w:tcPr>
          <w:p w14:paraId="7B2C628D" w14:textId="77777777" w:rsidR="00985B98" w:rsidRDefault="00000000">
            <w:pPr>
              <w:keepNext/>
              <w:keepLines/>
              <w:spacing w:after="0" w:line="240" w:lineRule="auto"/>
              <w:jc w:val="right"/>
            </w:pPr>
            <w:r>
              <w:rPr>
                <w:sz w:val="18"/>
              </w:rPr>
              <w:t>-</w:t>
            </w:r>
          </w:p>
        </w:tc>
      </w:tr>
    </w:tbl>
    <w:p w14:paraId="1CB677B7" w14:textId="77777777" w:rsidR="00985B98" w:rsidRDefault="00985B98">
      <w:pPr>
        <w:spacing w:after="0"/>
      </w:pPr>
    </w:p>
    <w:p w14:paraId="1F1B569D" w14:textId="77777777" w:rsidR="00985B98" w:rsidRDefault="00000000" w:rsidP="00E82141">
      <w:pPr>
        <w:jc w:val="both"/>
      </w:pPr>
      <w:r>
        <w:t>Smanjenje vrijednosti imovine u iznosu od 40.207,51€ odnosi se na redovni ispravak knjigovodstvene vrijednosti imovine prema popisu imovine na 31.12.2025. godine. </w:t>
      </w:r>
    </w:p>
    <w:p w14:paraId="76D6822C" w14:textId="77777777" w:rsidR="00985B98" w:rsidRDefault="00000000" w:rsidP="00E82141">
      <w:pPr>
        <w:jc w:val="both"/>
      </w:pPr>
      <w:r>
        <w:t>Ispravak vrijednosti imovine se sastoji od ispravka vrijednosti proizvedene dugotrajne imovine u iznosu 39.926,95€ i ispravka vrijednosti sitnog inventara u iznosu 208,56€.</w:t>
      </w:r>
    </w:p>
    <w:p w14:paraId="1E4CDA95" w14:textId="77777777" w:rsidR="00985B98" w:rsidRDefault="00985B98"/>
    <w:p w14:paraId="056A3EB4" w14:textId="77777777" w:rsidR="00985B98" w:rsidRDefault="00000000">
      <w:pPr>
        <w:keepNext/>
        <w:spacing w:line="240" w:lineRule="auto"/>
        <w:jc w:val="center"/>
      </w:pPr>
      <w:r>
        <w:rPr>
          <w:b/>
          <w:sz w:val="28"/>
        </w:rPr>
        <w:t>Izvještaj o obvezama</w:t>
      </w:r>
    </w:p>
    <w:p w14:paraId="57F4382F" w14:textId="77777777" w:rsidR="00985B98"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85B98" w14:paraId="2417AAE5" w14:textId="77777777">
        <w:trPr>
          <w:cantSplit/>
        </w:trPr>
        <w:tc>
          <w:tcPr>
            <w:tcW w:w="700" w:type="dxa"/>
            <w:shd w:val="clear" w:color="auto" w:fill="E7F0F9"/>
            <w:tcMar>
              <w:top w:w="0" w:type="dxa"/>
              <w:bottom w:w="0" w:type="dxa"/>
            </w:tcMar>
            <w:vAlign w:val="center"/>
          </w:tcPr>
          <w:p w14:paraId="4F1C5723"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47C16B"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3E856"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84E324" w14:textId="77777777" w:rsidR="00985B9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50AA2E3" w14:textId="77777777" w:rsidR="00985B98" w:rsidRDefault="00000000">
            <w:pPr>
              <w:keepNext/>
              <w:keepLines/>
              <w:spacing w:after="0" w:line="240" w:lineRule="auto"/>
              <w:jc w:val="center"/>
            </w:pPr>
            <w:r>
              <w:rPr>
                <w:b/>
                <w:sz w:val="18"/>
              </w:rPr>
              <w:t>Indeks (%)</w:t>
            </w:r>
          </w:p>
        </w:tc>
      </w:tr>
      <w:tr w:rsidR="00985B98" w14:paraId="50E70C37" w14:textId="77777777">
        <w:trPr>
          <w:cantSplit/>
          <w:trHeight w:val="560"/>
        </w:trPr>
        <w:tc>
          <w:tcPr>
            <w:tcW w:w="700" w:type="dxa"/>
            <w:tcMar>
              <w:top w:w="0" w:type="dxa"/>
              <w:bottom w:w="0" w:type="dxa"/>
            </w:tcMar>
            <w:vAlign w:val="center"/>
          </w:tcPr>
          <w:p w14:paraId="3B03D128" w14:textId="77777777" w:rsidR="00985B98" w:rsidRDefault="00985B98">
            <w:pPr>
              <w:keepNext/>
              <w:keepLines/>
              <w:spacing w:after="0" w:line="240" w:lineRule="auto"/>
            </w:pPr>
          </w:p>
        </w:tc>
        <w:tc>
          <w:tcPr>
            <w:tcW w:w="3180" w:type="dxa"/>
            <w:tcMar>
              <w:top w:w="0" w:type="dxa"/>
              <w:bottom w:w="0" w:type="dxa"/>
            </w:tcMar>
            <w:vAlign w:val="center"/>
          </w:tcPr>
          <w:p w14:paraId="1C7BCDB1" w14:textId="77777777" w:rsidR="00985B9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48EB0D4" w14:textId="77777777" w:rsidR="00985B98" w:rsidRDefault="00000000">
            <w:pPr>
              <w:keepNext/>
              <w:keepLines/>
              <w:spacing w:after="0" w:line="240" w:lineRule="auto"/>
            </w:pPr>
            <w:r>
              <w:rPr>
                <w:sz w:val="18"/>
              </w:rPr>
              <w:t>V007</w:t>
            </w:r>
          </w:p>
        </w:tc>
        <w:tc>
          <w:tcPr>
            <w:tcW w:w="1860" w:type="dxa"/>
            <w:tcMar>
              <w:top w:w="0" w:type="dxa"/>
              <w:bottom w:w="0" w:type="dxa"/>
            </w:tcMar>
            <w:vAlign w:val="center"/>
          </w:tcPr>
          <w:p w14:paraId="01229155" w14:textId="77777777" w:rsidR="00985B98" w:rsidRDefault="00000000">
            <w:pPr>
              <w:keepNext/>
              <w:keepLines/>
              <w:spacing w:after="0" w:line="240" w:lineRule="auto"/>
              <w:jc w:val="right"/>
            </w:pPr>
            <w:r>
              <w:rPr>
                <w:sz w:val="18"/>
              </w:rPr>
              <w:t>235,00</w:t>
            </w:r>
          </w:p>
        </w:tc>
        <w:tc>
          <w:tcPr>
            <w:tcW w:w="700" w:type="dxa"/>
            <w:tcMar>
              <w:top w:w="0" w:type="dxa"/>
              <w:bottom w:w="0" w:type="dxa"/>
            </w:tcMar>
            <w:vAlign w:val="center"/>
          </w:tcPr>
          <w:p w14:paraId="262E14F7" w14:textId="77777777" w:rsidR="00985B98" w:rsidRDefault="00000000">
            <w:pPr>
              <w:keepNext/>
              <w:keepLines/>
              <w:spacing w:after="0" w:line="240" w:lineRule="auto"/>
              <w:jc w:val="right"/>
            </w:pPr>
            <w:r>
              <w:rPr>
                <w:sz w:val="18"/>
              </w:rPr>
              <w:t>-</w:t>
            </w:r>
          </w:p>
        </w:tc>
      </w:tr>
    </w:tbl>
    <w:p w14:paraId="4ACC8012" w14:textId="77777777" w:rsidR="00985B98" w:rsidRDefault="00985B98" w:rsidP="00E82141">
      <w:pPr>
        <w:spacing w:after="0"/>
        <w:jc w:val="both"/>
      </w:pPr>
    </w:p>
    <w:p w14:paraId="225A0BDB" w14:textId="3AB39225" w:rsidR="00985B98" w:rsidRDefault="00000000" w:rsidP="00E82141">
      <w:pPr>
        <w:jc w:val="both"/>
      </w:pPr>
      <w:r>
        <w:t>Budući da smo od 1. srpnja 2025. godine u sklopu riznice Sisačko-moslavačke županije, sva plaćanja idu preko računa Sisačko-moslavačke županije te nemamo direktan utjecaj na datum plaćanja računa. Jedan račun s dospijećem na 31.12.2025. u iznosu 235,00€ je ostao neplaćen te se zbog toga vodi kao dospjela obveza.</w:t>
      </w:r>
    </w:p>
    <w:p w14:paraId="738597D0" w14:textId="77777777" w:rsidR="00985B98" w:rsidRDefault="00985B98"/>
    <w:p w14:paraId="671DFCCC" w14:textId="77777777" w:rsidR="00985B98"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85B98" w14:paraId="7619A2A7" w14:textId="77777777">
        <w:trPr>
          <w:cantSplit/>
        </w:trPr>
        <w:tc>
          <w:tcPr>
            <w:tcW w:w="700" w:type="dxa"/>
            <w:shd w:val="clear" w:color="auto" w:fill="E7F0F9"/>
            <w:tcMar>
              <w:top w:w="0" w:type="dxa"/>
              <w:bottom w:w="0" w:type="dxa"/>
            </w:tcMar>
            <w:vAlign w:val="center"/>
          </w:tcPr>
          <w:p w14:paraId="0478103B" w14:textId="77777777" w:rsidR="00985B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134D0D" w14:textId="77777777" w:rsidR="00985B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7FA63E" w14:textId="77777777" w:rsidR="00985B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196D0C" w14:textId="77777777" w:rsidR="00985B9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E7914A4" w14:textId="77777777" w:rsidR="00985B98" w:rsidRDefault="00000000">
            <w:pPr>
              <w:keepNext/>
              <w:keepLines/>
              <w:spacing w:after="0" w:line="240" w:lineRule="auto"/>
              <w:jc w:val="center"/>
            </w:pPr>
            <w:r>
              <w:rPr>
                <w:b/>
                <w:sz w:val="18"/>
              </w:rPr>
              <w:t>Indeks (%)</w:t>
            </w:r>
          </w:p>
        </w:tc>
      </w:tr>
      <w:tr w:rsidR="00985B98" w14:paraId="54BF2481" w14:textId="77777777">
        <w:trPr>
          <w:cantSplit/>
          <w:trHeight w:val="560"/>
        </w:trPr>
        <w:tc>
          <w:tcPr>
            <w:tcW w:w="700" w:type="dxa"/>
            <w:tcMar>
              <w:top w:w="0" w:type="dxa"/>
              <w:bottom w:w="0" w:type="dxa"/>
            </w:tcMar>
            <w:vAlign w:val="center"/>
          </w:tcPr>
          <w:p w14:paraId="5081E105" w14:textId="77777777" w:rsidR="00985B98" w:rsidRDefault="00985B98">
            <w:pPr>
              <w:keepNext/>
              <w:keepLines/>
              <w:spacing w:after="0" w:line="240" w:lineRule="auto"/>
            </w:pPr>
          </w:p>
        </w:tc>
        <w:tc>
          <w:tcPr>
            <w:tcW w:w="3180" w:type="dxa"/>
            <w:tcMar>
              <w:top w:w="0" w:type="dxa"/>
              <w:bottom w:w="0" w:type="dxa"/>
            </w:tcMar>
            <w:vAlign w:val="center"/>
          </w:tcPr>
          <w:p w14:paraId="21A25C81" w14:textId="77777777" w:rsidR="00985B98"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6CC3729D" w14:textId="77777777" w:rsidR="00985B98" w:rsidRDefault="00000000">
            <w:pPr>
              <w:keepNext/>
              <w:keepLines/>
              <w:spacing w:after="0" w:line="240" w:lineRule="auto"/>
            </w:pPr>
            <w:r>
              <w:rPr>
                <w:sz w:val="18"/>
              </w:rPr>
              <w:t>V009</w:t>
            </w:r>
          </w:p>
        </w:tc>
        <w:tc>
          <w:tcPr>
            <w:tcW w:w="1860" w:type="dxa"/>
            <w:tcMar>
              <w:top w:w="0" w:type="dxa"/>
              <w:bottom w:w="0" w:type="dxa"/>
            </w:tcMar>
            <w:vAlign w:val="center"/>
          </w:tcPr>
          <w:p w14:paraId="2110E241" w14:textId="77777777" w:rsidR="00985B98" w:rsidRDefault="00000000">
            <w:pPr>
              <w:keepNext/>
              <w:keepLines/>
              <w:spacing w:after="0" w:line="240" w:lineRule="auto"/>
              <w:jc w:val="right"/>
            </w:pPr>
            <w:r>
              <w:rPr>
                <w:sz w:val="18"/>
              </w:rPr>
              <w:t>89.548,24</w:t>
            </w:r>
          </w:p>
        </w:tc>
        <w:tc>
          <w:tcPr>
            <w:tcW w:w="700" w:type="dxa"/>
            <w:tcMar>
              <w:top w:w="0" w:type="dxa"/>
              <w:bottom w:w="0" w:type="dxa"/>
            </w:tcMar>
            <w:vAlign w:val="center"/>
          </w:tcPr>
          <w:p w14:paraId="1FC49CC6" w14:textId="77777777" w:rsidR="00985B98" w:rsidRDefault="00000000">
            <w:pPr>
              <w:keepNext/>
              <w:keepLines/>
              <w:spacing w:after="0" w:line="240" w:lineRule="auto"/>
              <w:jc w:val="right"/>
            </w:pPr>
            <w:r>
              <w:rPr>
                <w:sz w:val="18"/>
              </w:rPr>
              <w:t>-</w:t>
            </w:r>
          </w:p>
        </w:tc>
      </w:tr>
    </w:tbl>
    <w:p w14:paraId="43E85B21" w14:textId="77777777" w:rsidR="00985B98" w:rsidRDefault="00985B98">
      <w:pPr>
        <w:spacing w:after="0"/>
      </w:pPr>
    </w:p>
    <w:p w14:paraId="43FCDAE7" w14:textId="354F483E" w:rsidR="00985B98" w:rsidRDefault="00000000" w:rsidP="00E82141">
      <w:pPr>
        <w:jc w:val="both"/>
      </w:pPr>
      <w:r>
        <w:t>Nedospjele obveze na kraju izvještajnog razdoblja iznose 89.548,28€. Nedospjele obveze za rashode poslovanja se odnose na plaće zaposlenika i pomoćnika u nastavi za prosinac 2025. godine, koja se isplaćuje u siječnju 2026. godine, u iznosu od 78.547,21€. Ostatak nedospjelih obveza za rashode poslovanja su naknada za prijevoz zaposlenika u iznosu 8.043,77€, naknada za nezapošljavanje invalida u iznosu 194,00€, trošak psihologa (ugovor o djelu) 284,27€ te računi za materijalne troškove u iznosu 2.330,62€. Nedospjele obveze su još i obveze za nabavu nefinancijske imovine u iznosu 121,00€ te obveza proračunskih korisnika za povrat u proračun, to jest bolovanje preko HZZO, u iznosu od 27,37€.</w:t>
      </w:r>
    </w:p>
    <w:p w14:paraId="5666A88F" w14:textId="77777777" w:rsidR="00985B98" w:rsidRDefault="00985B98"/>
    <w:sectPr w:rsidR="00985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5B98"/>
    <w:rsid w:val="00904B67"/>
    <w:rsid w:val="00985B98"/>
    <w:rsid w:val="00E821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71F3"/>
  <w15:docId w15:val="{E066F866-D2B0-4BB9-BDF9-0CC14E67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2326</Words>
  <Characters>13263</Characters>
  <Application>Microsoft Office Word</Application>
  <DocSecurity>0</DocSecurity>
  <Lines>110</Lines>
  <Paragraphs>31</Paragraphs>
  <ScaleCrop>false</ScaleCrop>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Slavica</cp:lastModifiedBy>
  <cp:revision>3</cp:revision>
  <cp:lastPrinted>2026-01-30T09:02:00Z</cp:lastPrinted>
  <dcterms:created xsi:type="dcterms:W3CDTF">2026-01-30T09:01:00Z</dcterms:created>
  <dcterms:modified xsi:type="dcterms:W3CDTF">2026-02-11T10:21:00Z</dcterms:modified>
</cp:coreProperties>
</file>